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906"/>
      </w:tblGrid>
      <w:tr>
        <w:trPr>
          <w:cantSplit/>
          <w:trHeight w:val="1500" w:hRule="exact"/>
        </w:trPr>
        <w:tc>
          <w:tcPr>
            <w:tcW w:type="dxa" w:w="11906"/>
            <w:tcBorders>
              <w:top w:val="none" w:color="FFFFFF" w:sz="0"/>
              <w:left w:val="none" w:color="FFFFFF" w:sz="0"/>
              <w:bottom w:val="none" w:color="FFFFFF" w:sz="0"/>
              <w:right w:val="none" w:color="FFFFFF" w:sz="0"/>
            </w:tcBorders>
            <w:tcMar>
              <w:top w:type="dxa" w:w="600"/>
              <w:left w:type="dxa" w:w="900"/>
              <w:bottom w:type="dxa" w:w="0"/>
              <w:right w:type="dxa" w:w="900"/>
            </w:tcMar>
            <w:vAlign w:val="top"/>
          </w:tcPr>
          <w:p>
            <w:r>
              <w:drawing>
                <wp:inline distT="0" distB="0" distL="0" distR="0">
                  <wp:extent cx="1905000" cy="676275"/>
                  <wp:effectExtent t="0" r="0" b="0" l="0"/>
                  <wp:docPr id="1" name="logo" descr="Logo placeholder"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905000" cy="676275"/>
                          </a:xfrm>
                          <a:prstGeom prst="rect">
                            <a:avLst/>
                          </a:prstGeom>
                        </pic:spPr>
                      </pic:pic>
                    </a:graphicData>
                  </a:graphic>
                </wp:inline>
              </w:drawing>
            </w:r>
          </w:p>
        </w:tc>
      </w:tr>
      <w:tr>
        <w:trPr>
          <w:cantSplit/>
          <w:trHeight w:val="10400" w:hRule="exact"/>
        </w:trPr>
        <w:tc>
          <w:tcPr>
            <w:tcW w:type="dxa" w:w="11906"/>
            <w:tcBorders>
              <w:top w:val="none" w:color="FFFFFF" w:sz="0"/>
              <w:left w:val="none" w:color="FFFFFF" w:sz="0"/>
              <w:bottom w:val="none" w:color="FFFFFF" w:sz="0"/>
              <w:right w:val="none" w:color="FFFFFF" w:sz="0"/>
            </w:tcBorders>
            <w:shd w:fill="1B3A5C" w:color="auto" w:val="clear"/>
            <w:tcMar>
              <w:top w:type="dxa" w:w="0"/>
              <w:left w:type="dxa" w:w="900"/>
              <w:bottom w:type="dxa" w:w="0"/>
              <w:right w:type="dxa" w:w="900"/>
            </w:tcMar>
            <w:vAlign w:val="top"/>
          </w:tcPr>
          <w:p>
            <w:pPr>
              <w:spacing w:after="500" w:before="1300"/>
            </w:pPr>
            <w:r>
              <w:drawing>
                <wp:inline distT="0" distB="0" distL="0" distR="0">
                  <wp:extent cx="1123950" cy="1123950"/>
                  <wp:effectExtent t="0" r="0" b="0" l="0"/>
                  <wp:docPr id="1" name="tooth" descr="Tooth icon" title="Toot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123950" cy="1123950"/>
                          </a:xfrm>
                          <a:prstGeom prst="rect">
                            <a:avLst/>
                          </a:prstGeom>
                        </pic:spPr>
                      </pic:pic>
                    </a:graphicData>
                  </a:graphic>
                </wp:inline>
              </w:drawing>
            </w:r>
          </w:p>
          <w:p>
            <w:pPr>
              <w:spacing w:after="160"/>
            </w:pPr>
            <w:r>
              <w:rPr>
                <w:rFonts w:ascii="Calibri" w:cs="Calibri" w:eastAsia="Calibri" w:hAnsi="Calibri"/>
                <w:b/>
                <w:bCs/>
                <w:color w:val="8FD3D8"/>
                <w:spacing w:val="120"/>
                <w:sz w:val="22"/>
                <w:szCs w:val="22"/>
              </w:rPr>
              <w:t xml:space="preserve">A PRACTICAL GUIDE FOR CARE HOMES</w:t>
            </w:r>
          </w:p>
          <w:p>
            <w:pPr>
              <w:spacing w:after="0" w:line="900" w:lineRule="exact"/>
            </w:pPr>
            <w:r>
              <w:rPr>
                <w:rFonts w:ascii="Calibri" w:cs="Calibri" w:eastAsia="Calibri" w:hAnsi="Calibri"/>
                <w:b/>
                <w:bCs/>
                <w:color w:val="FFFFFF"/>
                <w:sz w:val="108"/>
                <w:szCs w:val="108"/>
              </w:rPr>
              <w:t xml:space="preserve">Planning</w:t>
            </w:r>
          </w:p>
          <w:p>
            <w:pPr>
              <w:spacing w:after="300" w:line="900" w:lineRule="exact"/>
            </w:pPr>
            <w:r>
              <w:rPr>
                <w:rFonts w:ascii="Calibri" w:cs="Calibri" w:eastAsia="Calibri" w:hAnsi="Calibri"/>
                <w:b/>
                <w:bCs/>
                <w:color w:val="FFFFFF"/>
                <w:sz w:val="108"/>
                <w:szCs w:val="108"/>
              </w:rPr>
              <w:t xml:space="preserve">Oral Healthcare</w:t>
            </w:r>
          </w:p>
          <w:p>
            <w:pPr>
              <w:pBdr>
                <w:top w:val="single" w:color="22808A" w:sz="36" w:space="1"/>
              </w:pBdr>
              <w:spacing w:after="300"/>
              <w:ind w:right="7400"/>
            </w:pPr>
          </w:p>
          <w:p>
            <w:pPr>
              <w:spacing w:after="240"/>
            </w:pPr>
            <w:r>
              <w:rPr>
                <w:rFonts w:ascii="Calibri" w:cs="Calibri" w:eastAsia="Calibri" w:hAnsi="Calibri"/>
                <w:b/>
                <w:bCs/>
                <w:color w:val="8FD3D8"/>
                <w:spacing w:val="60"/>
                <w:sz w:val="21"/>
                <w:szCs w:val="21"/>
              </w:rPr>
              <w:t xml:space="preserve">PERSON-CENTRED  •  PRACTICAL  •  EVIDENCE-INFORMED</w:t>
            </w:r>
          </w:p>
          <w:p>
            <w:pPr>
              <w:spacing w:after="0" w:line="360"/>
              <w:ind w:right="2200"/>
            </w:pPr>
            <w:r>
              <w:rPr>
                <w:rFonts w:ascii="Calibri" w:cs="Calibri" w:eastAsia="Calibri" w:hAnsi="Calibri"/>
                <w:color w:val="D9E6EE"/>
                <w:sz w:val="32"/>
                <w:szCs w:val="32"/>
              </w:rPr>
              <w:t xml:space="preserve">Supporting every resident to maintain good oral health, dignity, comfort and independence.</w:t>
            </w:r>
          </w:p>
        </w:tc>
      </w:tr>
      <w:tr>
        <w:trPr>
          <w:cantSplit/>
          <w:trHeight w:val="160" w:hRule="exact"/>
        </w:trPr>
        <w:tc>
          <w:tcPr>
            <w:tcW w:type="dxa" w:w="11906"/>
            <w:tcBorders>
              <w:top w:val="none" w:color="FFFFFF" w:sz="0"/>
              <w:left w:val="none" w:color="FFFFFF" w:sz="0"/>
              <w:bottom w:val="none" w:color="FFFFFF" w:sz="0"/>
              <w:right w:val="none" w:color="FFFFFF" w:sz="0"/>
            </w:tcBorders>
            <w:shd w:fill="22808A" w:color="auto" w:val="clear"/>
            <w:tcMar>
              <w:top w:type="dxa" w:w="0"/>
              <w:left w:type="dxa" w:w="900"/>
              <w:bottom w:type="dxa" w:w="0"/>
              <w:right w:type="dxa" w:w="900"/>
            </w:tcMar>
            <w:vAlign w:val="top"/>
          </w:tcPr>
          <w:p>
            <w:r>
              <w:rPr>
                <w:rFonts w:ascii="Calibri" w:cs="Calibri" w:eastAsia="Calibri" w:hAnsi="Calibri"/>
                <w:sz w:val="2"/>
                <w:szCs w:val="2"/>
              </w:rPr>
              <w:t xml:space="preserve"/>
            </w:r>
          </w:p>
        </w:tc>
      </w:tr>
      <w:tr>
        <w:trPr>
          <w:cantSplit/>
          <w:trHeight w:val="2900" w:hRule="exact"/>
        </w:trPr>
        <w:tc>
          <w:tcPr>
            <w:tcW w:type="dxa" w:w="11906"/>
            <w:tcBorders>
              <w:top w:val="none" w:color="FFFFFF" w:sz="0"/>
              <w:left w:val="none" w:color="FFFFFF" w:sz="0"/>
              <w:bottom w:val="none" w:color="FFFFFF" w:sz="0"/>
              <w:right w:val="none" w:color="FFFFFF" w:sz="0"/>
            </w:tcBorders>
            <w:tcMar>
              <w:top w:type="dxa" w:w="550"/>
              <w:left w:type="dxa" w:w="900"/>
              <w:bottom w:type="dxa" w:w="0"/>
              <w:right w:type="dxa" w:w="900"/>
            </w:tcMar>
            <w:vAlign w:val="top"/>
          </w:tcPr>
          <w:p>
            <w:pPr>
              <w:spacing w:after="120"/>
            </w:pPr>
            <w:r>
              <w:rPr>
                <w:rFonts w:ascii="Calibri" w:cs="Calibri" w:eastAsia="Calibri" w:hAnsi="Calibri"/>
                <w:b/>
                <w:bCs/>
                <w:color w:val="22808A"/>
                <w:spacing w:val="60"/>
                <w:sz w:val="18"/>
                <w:szCs w:val="18"/>
              </w:rPr>
              <w:t xml:space="preserve">UPDATED SEPTEMBER 2026</w:t>
            </w:r>
          </w:p>
          <w:p>
            <w:pPr>
              <w:spacing w:after="0" w:line="300"/>
              <w:ind w:right="900"/>
            </w:pPr>
            <w:r>
              <w:rPr>
                <w:rFonts w:ascii="Calibri" w:cs="Calibri" w:eastAsia="Calibri" w:hAnsi="Calibri"/>
                <w:color w:val="2E3B45"/>
                <w:sz w:val="23"/>
                <w:szCs w:val="23"/>
              </w:rPr>
              <w:t xml:space="preserve">This document replaces the previous version that included Key Lines of Enquiry questions. It focuses on what care homes need to have in place and, in particular, how oral healthcare should be recorded in a genuinely person-centred care plan.</w:t>
            </w:r>
          </w:p>
        </w:tc>
      </w:tr>
      <w:tr>
        <w:trPr>
          <w:cantSplit/>
          <w:trHeight w:val="1300" w:hRule="exact"/>
        </w:trPr>
        <w:tc>
          <w:tcPr>
            <w:tcW w:type="dxa" w:w="11906"/>
            <w:tcBorders>
              <w:top w:val="none" w:color="FFFFFF" w:sz="0"/>
              <w:left w:val="none" w:color="FFFFFF" w:sz="0"/>
              <w:bottom w:val="none" w:color="FFFFFF" w:sz="0"/>
              <w:right w:val="none" w:color="FFFFFF" w:sz="0"/>
            </w:tcBorders>
            <w:shd w:fill="EDF1F6" w:color="auto" w:val="clear"/>
            <w:tcMar>
              <w:top w:type="dxa" w:w="0"/>
              <w:left w:type="dxa" w:w="900"/>
              <w:bottom w:type="dxa" w:w="0"/>
              <w:right w:type="dxa" w:w="900"/>
            </w:tcMar>
            <w:vAlign w:val="center"/>
          </w:tcPr>
          <w:p>
            <w:pPr>
              <w:spacing w:after="0"/>
            </w:pPr>
            <w:r>
              <w:rPr>
                <w:rFonts w:ascii="Calibri" w:cs="Calibri" w:eastAsia="Calibri" w:hAnsi="Calibri"/>
                <w:b/>
                <w:bCs/>
                <w:color w:val="1B3A5C"/>
                <w:spacing w:val="60"/>
                <w:sz w:val="20"/>
                <w:szCs w:val="20"/>
              </w:rPr>
              <w:t xml:space="preserve">KNOWLEDGE ORAL HEALTHCARE</w:t>
            </w:r>
            <w:r>
              <w:rPr>
                <w:rFonts w:ascii="Calibri" w:cs="Calibri" w:eastAsia="Calibri" w:hAnsi="Calibri"/>
                <w:color w:val="5B6770"/>
                <w:sz w:val="20"/>
                <w:szCs w:val="20"/>
              </w:rPr>
              <w:t xml:space="preserve">     |     </w:t>
            </w:r>
            <w:hyperlink w:history="1" r:id="rIdqa6vqjxjq-ji_2qskflbm">
              <w:r>
                <w:rPr>
                  <w:rFonts w:ascii="Calibri" w:cs="Calibri" w:eastAsia="Calibri" w:hAnsi="Calibri"/>
                  <w:color w:val="1D5FA8"/>
                  <w:sz w:val="20"/>
                  <w:szCs w:val="20"/>
                  <w:u w:val="single"/>
                </w:rPr>
                <w:t xml:space="preserve">www.kohc.co.uk</w:t>
              </w:r>
            </w:hyperlink>
            <w:r>
              <w:rPr>
                <w:rFonts w:ascii="Calibri" w:cs="Calibri" w:eastAsia="Calibri" w:hAnsi="Calibri"/>
                <w:color w:val="5B6770"/>
                <w:sz w:val="20"/>
                <w:szCs w:val="20"/>
              </w:rPr>
              <w:t xml:space="preserve">     |     </w:t>
            </w:r>
            <w:hyperlink w:history="1" r:id="rIdikllv3zhm2kjul2u9e-4w">
              <w:r>
                <w:rPr>
                  <w:rFonts w:ascii="Calibri" w:cs="Calibri" w:eastAsia="Calibri" w:hAnsi="Calibri"/>
                  <w:color w:val="1D5FA8"/>
                  <w:sz w:val="20"/>
                  <w:szCs w:val="20"/>
                  <w:u w:val="single"/>
                </w:rPr>
                <w:t xml:space="preserve">info@kohc.co.uk</w:t>
              </w:r>
            </w:hyperlink>
          </w:p>
        </w:tc>
      </w:tr>
    </w:tbl>
    <w:p>
      <w:pPr>
        <w:spacing w:after="0" w:before="0" w:line="20" w:lineRule="exact"/>
      </w:pPr>
      <w:r>
        <w:rPr>
          <w:rFonts w:ascii="Calibri" w:cs="Calibri" w:eastAsia="Calibri" w:hAnsi="Calibri"/>
          <w:sz w:val="2"/>
          <w:szCs w:val="2"/>
        </w:rPr>
        <w:t xml:space="preserve"/>
      </w:r>
    </w:p>
    <w:p>
      <w:pPr>
        <w:sectPr>
          <w:headerReference w:type="default" r:id="rId7"/>
          <w:footerReference w:type="default" r:id="rId8"/>
          <w:pgSz w:w="11906" w:h="16838" w:orient="portrait"/>
          <w:pgMar w:top="0" w:right="0" w:bottom="0" w:left="0" w:header="0" w:footer="0" w:gutter="0"/>
          <w:pgNumType/>
          <w:docGrid w:linePitch="360"/>
        </w:sectPr>
      </w:pPr>
    </w:p>
    <w:p>
      <w:pPr>
        <w:pStyle w:val="Heading1"/>
      </w:pPr>
      <w:r>
        <w:t xml:space="preserve">Contents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tcMar>
              <w:top w:type="dxa" w:w="0"/>
              <w:left w:type="dxa" w:w="0"/>
              <w:bottom w:type="dxa" w:w="0"/>
              <w:right w:type="dxa" w:w="160"/>
            </w:tcMar>
          </w:tcPr>
          <w:p>
            <w:pPr>
              <w:tabs>
                <w:tab w:val="left" w:pos="520"/>
              </w:tabs>
              <w:spacing w:after="100" w:line="264"/>
              <w:ind w:left="520" w:hanging="520"/>
            </w:pPr>
            <w:r>
              <w:rPr>
                <w:rFonts w:ascii="Calibri" w:cs="Calibri" w:eastAsia="Calibri" w:hAnsi="Calibri"/>
                <w:b/>
                <w:bCs/>
                <w:color w:val="22808A"/>
                <w:sz w:val="21"/>
                <w:szCs w:val="21"/>
              </w:rPr>
              <w:t xml:space="preserve">1	</w:t>
            </w:r>
            <w:hyperlink w:history="1" w:anchor="s1">
              <w:r>
                <w:rPr>
                  <w:rFonts w:ascii="Calibri" w:cs="Calibri" w:eastAsia="Calibri" w:hAnsi="Calibri"/>
                  <w:color w:val="1B3A5C"/>
                  <w:sz w:val="21"/>
                  <w:szCs w:val="21"/>
                </w:rPr>
                <w:t xml:space="preserve">Why oral healthcare matters</w:t>
              </w:r>
            </w:hyperlink>
          </w:p>
          <w:p>
            <w:pPr>
              <w:tabs>
                <w:tab w:val="left" w:pos="520"/>
              </w:tabs>
              <w:spacing w:after="100" w:line="264"/>
              <w:ind w:left="520" w:hanging="520"/>
            </w:pPr>
            <w:r>
              <w:rPr>
                <w:rFonts w:ascii="Calibri" w:cs="Calibri" w:eastAsia="Calibri" w:hAnsi="Calibri"/>
                <w:b/>
                <w:bCs/>
                <w:color w:val="22808A"/>
                <w:sz w:val="21"/>
                <w:szCs w:val="21"/>
              </w:rPr>
              <w:t xml:space="preserve">2	</w:t>
            </w:r>
            <w:hyperlink w:history="1" w:anchor="s2">
              <w:r>
                <w:rPr>
                  <w:rFonts w:ascii="Calibri" w:cs="Calibri" w:eastAsia="Calibri" w:hAnsi="Calibri"/>
                  <w:color w:val="1B3A5C"/>
                  <w:sz w:val="21"/>
                  <w:szCs w:val="21"/>
                </w:rPr>
                <w:t xml:space="preserve">Oral health assessment</w:t>
              </w:r>
            </w:hyperlink>
          </w:p>
          <w:p>
            <w:pPr>
              <w:tabs>
                <w:tab w:val="left" w:pos="520"/>
              </w:tabs>
              <w:spacing w:after="100" w:line="264"/>
              <w:ind w:left="520" w:hanging="520"/>
            </w:pPr>
            <w:r>
              <w:rPr>
                <w:rFonts w:ascii="Calibri" w:cs="Calibri" w:eastAsia="Calibri" w:hAnsi="Calibri"/>
                <w:b/>
                <w:bCs/>
                <w:color w:val="22808A"/>
                <w:sz w:val="21"/>
                <w:szCs w:val="21"/>
              </w:rPr>
              <w:t xml:space="preserve">3	</w:t>
            </w:r>
            <w:hyperlink w:history="1" w:anchor="s3">
              <w:r>
                <w:rPr>
                  <w:rFonts w:ascii="Calibri" w:cs="Calibri" w:eastAsia="Calibri" w:hAnsi="Calibri"/>
                  <w:color w:val="1B3A5C"/>
                  <w:sz w:val="21"/>
                  <w:szCs w:val="21"/>
                </w:rPr>
                <w:t xml:space="preserve">The person-centred oral healthcare plan</w:t>
              </w:r>
            </w:hyperlink>
          </w:p>
          <w:p>
            <w:pPr>
              <w:tabs>
                <w:tab w:val="left" w:pos="520"/>
              </w:tabs>
              <w:spacing w:after="100" w:line="264"/>
              <w:ind w:left="520" w:hanging="520"/>
            </w:pPr>
            <w:r>
              <w:rPr>
                <w:rFonts w:ascii="Calibri" w:cs="Calibri" w:eastAsia="Calibri" w:hAnsi="Calibri"/>
                <w:b/>
                <w:bCs/>
                <w:color w:val="22808A"/>
                <w:sz w:val="21"/>
                <w:szCs w:val="21"/>
              </w:rPr>
              <w:t xml:space="preserve">4	</w:t>
            </w:r>
            <w:hyperlink w:history="1" w:anchor="s4">
              <w:r>
                <w:rPr>
                  <w:rFonts w:ascii="Calibri" w:cs="Calibri" w:eastAsia="Calibri" w:hAnsi="Calibri"/>
                  <w:color w:val="1B3A5C"/>
                  <w:sz w:val="21"/>
                  <w:szCs w:val="21"/>
                </w:rPr>
                <w:t xml:space="preserve">What should be recorded in the care plan?</w:t>
              </w:r>
            </w:hyperlink>
          </w:p>
          <w:p>
            <w:pPr>
              <w:tabs>
                <w:tab w:val="left" w:pos="520"/>
              </w:tabs>
              <w:spacing w:after="100" w:line="264"/>
              <w:ind w:left="520" w:hanging="520"/>
            </w:pPr>
            <w:r>
              <w:rPr>
                <w:rFonts w:ascii="Calibri" w:cs="Calibri" w:eastAsia="Calibri" w:hAnsi="Calibri"/>
                <w:b/>
                <w:bCs/>
                <w:color w:val="22808A"/>
                <w:sz w:val="21"/>
                <w:szCs w:val="21"/>
              </w:rPr>
              <w:t xml:space="preserve">5	</w:t>
            </w:r>
            <w:hyperlink w:history="1" w:anchor="s5">
              <w:r>
                <w:rPr>
                  <w:rFonts w:ascii="Calibri" w:cs="Calibri" w:eastAsia="Calibri" w:hAnsi="Calibri"/>
                  <w:color w:val="1B3A5C"/>
                  <w:sz w:val="21"/>
                  <w:szCs w:val="21"/>
                </w:rPr>
                <w:t xml:space="preserve">Person-centred planning in practice</w:t>
              </w:r>
            </w:hyperlink>
          </w:p>
        </w:tc>
        <w:tc>
          <w:tcPr>
            <w:tcW w:type="dxa" w:w="4819"/>
            <w:tcBorders>
              <w:top w:val="none" w:color="FFFFFF" w:sz="0"/>
              <w:left w:val="none" w:color="FFFFFF" w:sz="0"/>
              <w:bottom w:val="none" w:color="FFFFFF" w:sz="0"/>
              <w:right w:val="none" w:color="FFFFFF" w:sz="0"/>
            </w:tcBorders>
            <w:tcMar>
              <w:top w:type="dxa" w:w="0"/>
              <w:left w:type="dxa" w:w="0"/>
              <w:bottom w:type="dxa" w:w="0"/>
              <w:right w:type="dxa" w:w="160"/>
            </w:tcMar>
          </w:tcPr>
          <w:p>
            <w:pPr>
              <w:tabs>
                <w:tab w:val="left" w:pos="520"/>
              </w:tabs>
              <w:spacing w:after="100" w:line="264"/>
              <w:ind w:left="520" w:hanging="520"/>
            </w:pPr>
            <w:r>
              <w:rPr>
                <w:rFonts w:ascii="Calibri" w:cs="Calibri" w:eastAsia="Calibri" w:hAnsi="Calibri"/>
                <w:b/>
                <w:bCs/>
                <w:color w:val="22808A"/>
                <w:sz w:val="21"/>
                <w:szCs w:val="21"/>
              </w:rPr>
              <w:t xml:space="preserve">6	</w:t>
            </w:r>
            <w:hyperlink w:history="1" w:anchor="s6">
              <w:r>
                <w:rPr>
                  <w:rFonts w:ascii="Calibri" w:cs="Calibri" w:eastAsia="Calibri" w:hAnsi="Calibri"/>
                  <w:color w:val="1B3A5C"/>
                  <w:sz w:val="21"/>
                  <w:szCs w:val="21"/>
                </w:rPr>
                <w:t xml:space="preserve">Daily mouth care and recording</w:t>
              </w:r>
            </w:hyperlink>
          </w:p>
          <w:p>
            <w:pPr>
              <w:tabs>
                <w:tab w:val="left" w:pos="520"/>
              </w:tabs>
              <w:spacing w:after="100" w:line="264"/>
              <w:ind w:left="520" w:hanging="520"/>
            </w:pPr>
            <w:r>
              <w:rPr>
                <w:rFonts w:ascii="Calibri" w:cs="Calibri" w:eastAsia="Calibri" w:hAnsi="Calibri"/>
                <w:b/>
                <w:bCs/>
                <w:color w:val="22808A"/>
                <w:sz w:val="21"/>
                <w:szCs w:val="21"/>
              </w:rPr>
              <w:t xml:space="preserve">7	</w:t>
            </w:r>
            <w:hyperlink w:history="1" w:anchor="s7">
              <w:r>
                <w:rPr>
                  <w:rFonts w:ascii="Calibri" w:cs="Calibri" w:eastAsia="Calibri" w:hAnsi="Calibri"/>
                  <w:color w:val="1B3A5C"/>
                  <w:sz w:val="21"/>
                  <w:szCs w:val="21"/>
                </w:rPr>
                <w:t xml:space="preserve">Recognising concerns and escalating</w:t>
              </w:r>
            </w:hyperlink>
          </w:p>
          <w:p>
            <w:pPr>
              <w:tabs>
                <w:tab w:val="left" w:pos="520"/>
              </w:tabs>
              <w:spacing w:after="100" w:line="264"/>
              <w:ind w:left="520" w:hanging="520"/>
            </w:pPr>
            <w:r>
              <w:rPr>
                <w:rFonts w:ascii="Calibri" w:cs="Calibri" w:eastAsia="Calibri" w:hAnsi="Calibri"/>
                <w:b/>
                <w:bCs/>
                <w:color w:val="22808A"/>
                <w:sz w:val="21"/>
                <w:szCs w:val="21"/>
              </w:rPr>
              <w:t xml:space="preserve">8	</w:t>
            </w:r>
            <w:hyperlink w:history="1" w:anchor="s8">
              <w:r>
                <w:rPr>
                  <w:rFonts w:ascii="Calibri" w:cs="Calibri" w:eastAsia="Calibri" w:hAnsi="Calibri"/>
                  <w:color w:val="1B3A5C"/>
                  <w:sz w:val="21"/>
                  <w:szCs w:val="21"/>
                </w:rPr>
                <w:t xml:space="preserve">Monitoring, review and governance</w:t>
              </w:r>
            </w:hyperlink>
          </w:p>
          <w:p>
            <w:pPr>
              <w:tabs>
                <w:tab w:val="left" w:pos="520"/>
              </w:tabs>
              <w:spacing w:after="100" w:line="264"/>
              <w:ind w:left="520" w:hanging="520"/>
            </w:pPr>
            <w:r>
              <w:rPr>
                <w:rFonts w:ascii="Calibri" w:cs="Calibri" w:eastAsia="Calibri" w:hAnsi="Calibri"/>
                <w:b/>
                <w:bCs/>
                <w:color w:val="22808A"/>
                <w:sz w:val="21"/>
                <w:szCs w:val="21"/>
              </w:rPr>
              <w:t xml:space="preserve">9	</w:t>
            </w:r>
            <w:hyperlink w:history="1" w:anchor="s9">
              <w:r>
                <w:rPr>
                  <w:rFonts w:ascii="Calibri" w:cs="Calibri" w:eastAsia="Calibri" w:hAnsi="Calibri"/>
                  <w:color w:val="1B3A5C"/>
                  <w:sz w:val="21"/>
                  <w:szCs w:val="21"/>
                </w:rPr>
                <w:t xml:space="preserve">Care home oral healthcare checklist</w:t>
              </w:r>
            </w:hyperlink>
          </w:p>
          <w:p>
            <w:pPr>
              <w:tabs>
                <w:tab w:val="left" w:pos="520"/>
              </w:tabs>
              <w:spacing w:after="100" w:line="264"/>
              <w:ind w:left="520" w:hanging="520"/>
            </w:pPr>
            <w:r>
              <w:rPr>
                <w:rFonts w:ascii="Calibri" w:cs="Calibri" w:eastAsia="Calibri" w:hAnsi="Calibri"/>
                <w:b/>
                <w:bCs/>
                <w:color w:val="22808A"/>
                <w:sz w:val="21"/>
                <w:szCs w:val="21"/>
              </w:rPr>
              <w:t xml:space="preserve">•	</w:t>
            </w:r>
            <w:hyperlink w:history="1" w:anchor="s10">
              <w:r>
                <w:rPr>
                  <w:rFonts w:ascii="Calibri" w:cs="Calibri" w:eastAsia="Calibri" w:hAnsi="Calibri"/>
                  <w:color w:val="1B3A5C"/>
                  <w:sz w:val="21"/>
                  <w:szCs w:val="21"/>
                </w:rPr>
                <w:t xml:space="preserve">Sources and evidence base</w:t>
              </w:r>
            </w:hyperlink>
          </w:p>
        </w:tc>
      </w:tr>
    </w:tbl>
    <w:p>
      <w:pPr>
        <w:spacing w:after="0" w:before="0" w:line="260"/>
      </w:pPr>
      <w:r>
        <w:rPr>
          <w:sz w:val="4"/>
          <w:szCs w:val="4"/>
        </w:rPr>
        <w:t xml:space="preserve"/>
      </w:r>
    </w:p>
    <w:p>
      <w:pPr>
        <w:keepNext/>
        <w:spacing w:after="100"/>
      </w:pPr>
      <w:r>
        <w:rPr>
          <w:rFonts w:ascii="Calibri" w:cs="Calibri" w:eastAsia="Calibri" w:hAnsi="Calibri"/>
          <w:b/>
          <w:bCs/>
          <w:color w:val="1B3A5C"/>
          <w:sz w:val="26"/>
          <w:szCs w:val="26"/>
        </w:rPr>
        <w:t xml:space="preserve">A good plan answers six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3"/>
        <w:gridCol w:w="3213"/>
      </w:tblGrid>
      <w:tr>
        <w:trPr>
          <w:cantSplit/>
        </w:trPr>
        <w:tc>
          <w:tcPr>
            <w:tcW w:type="dxa" w:w="3212"/>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Who is this person?</w:t>
            </w:r>
          </w:p>
          <w:p>
            <w:pPr>
              <w:spacing w:after="0" w:line="250"/>
            </w:pPr>
            <w:r>
              <w:rPr>
                <w:rFonts w:ascii="Calibri" w:cs="Calibri" w:eastAsia="Calibri" w:hAnsi="Calibri"/>
                <w:color w:val="2E3B45"/>
                <w:sz w:val="19"/>
                <w:szCs w:val="19"/>
              </w:rPr>
              <w:t xml:space="preserve">What matters to them and what is important about their usual routine?</w:t>
            </w:r>
          </w:p>
        </w:tc>
        <w:tc>
          <w:tcPr>
            <w:tcW w:type="dxa" w:w="3213"/>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What can they do?</w:t>
            </w:r>
          </w:p>
          <w:p>
            <w:pPr>
              <w:spacing w:after="0" w:line="250"/>
            </w:pPr>
            <w:r>
              <w:rPr>
                <w:rFonts w:ascii="Calibri" w:cs="Calibri" w:eastAsia="Calibri" w:hAnsi="Calibri"/>
                <w:color w:val="2E3B45"/>
                <w:sz w:val="19"/>
                <w:szCs w:val="19"/>
              </w:rPr>
              <w:t xml:space="preserve">What parts of mouth care can they manage independently?</w:t>
            </w:r>
          </w:p>
        </w:tc>
        <w:tc>
          <w:tcPr>
            <w:tcW w:type="dxa" w:w="3213"/>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What help do they need?</w:t>
            </w:r>
          </w:p>
          <w:p>
            <w:pPr>
              <w:spacing w:after="0" w:line="250"/>
            </w:pPr>
            <w:r>
              <w:rPr>
                <w:rFonts w:ascii="Calibri" w:cs="Calibri" w:eastAsia="Calibri" w:hAnsi="Calibri"/>
                <w:color w:val="2E3B45"/>
                <w:sz w:val="19"/>
                <w:szCs w:val="19"/>
              </w:rPr>
              <w:t xml:space="preserve">What exactly should staff do, and what should they encourage the person to do themselves?</w:t>
            </w:r>
          </w:p>
        </w:tc>
      </w:tr>
      <w:tr>
        <w:trPr>
          <w:cantSplit/>
        </w:trPr>
        <w:tc>
          <w:tcPr>
            <w:tcW w:type="dxa" w:w="3212"/>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How do they like care to be provided?</w:t>
            </w:r>
          </w:p>
          <w:p>
            <w:pPr>
              <w:spacing w:after="0" w:line="250"/>
            </w:pPr>
            <w:r>
              <w:rPr>
                <w:rFonts w:ascii="Calibri" w:cs="Calibri" w:eastAsia="Calibri" w:hAnsi="Calibri"/>
                <w:color w:val="2E3B45"/>
                <w:sz w:val="19"/>
                <w:szCs w:val="19"/>
              </w:rPr>
              <w:t xml:space="preserve">When, where, with which products, and in what way?</w:t>
            </w:r>
          </w:p>
        </w:tc>
        <w:tc>
          <w:tcPr>
            <w:tcW w:type="dxa" w:w="3213"/>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What could make mouth care difficult?</w:t>
            </w:r>
          </w:p>
          <w:p>
            <w:pPr>
              <w:spacing w:after="0" w:line="250"/>
            </w:pPr>
            <w:r>
              <w:rPr>
                <w:rFonts w:ascii="Calibri" w:cs="Calibri" w:eastAsia="Calibri" w:hAnsi="Calibri"/>
                <w:color w:val="2E3B45"/>
                <w:sz w:val="19"/>
                <w:szCs w:val="19"/>
              </w:rPr>
              <w:t xml:space="preserve">Consider communication, dementia, pain, anxiety, dexterity, mobility, swallowing, dry mouth or previous experiences.</w:t>
            </w:r>
          </w:p>
        </w:tc>
        <w:tc>
          <w:tcPr>
            <w:tcW w:type="dxa" w:w="3213"/>
            <w:tcBorders>
              <w:top w:val="single" w:color="FFFFFF" w:sz="18"/>
              <w:left w:val="single" w:color="FFFFFF" w:sz="18"/>
              <w:bottom w:val="single" w:color="FFFFFF" w:sz="18"/>
              <w:right w:val="single" w:color="FFFFFF" w:sz="18"/>
            </w:tcBorders>
            <w:shd w:fill="E8F3F5" w:color="auto" w:val="clear"/>
            <w:tcMar>
              <w:top w:type="dxa" w:w="110"/>
              <w:left w:type="dxa" w:w="130"/>
              <w:bottom w:type="dxa" w:w="100"/>
              <w:right w:type="dxa" w:w="110"/>
            </w:tcMar>
          </w:tcPr>
          <w:p>
            <w:pPr>
              <w:spacing w:after="40"/>
            </w:pPr>
            <w:r>
              <w:rPr>
                <w:rFonts w:ascii="Calibri" w:cs="Calibri" w:eastAsia="Calibri" w:hAnsi="Calibri"/>
                <w:b/>
                <w:bCs/>
                <w:color w:val="1B3A5C"/>
                <w:sz w:val="22"/>
                <w:szCs w:val="22"/>
              </w:rPr>
              <w:t xml:space="preserve">What happens if something changes?</w:t>
            </w:r>
          </w:p>
          <w:p>
            <w:pPr>
              <w:spacing w:after="0" w:line="250"/>
            </w:pPr>
            <w:r>
              <w:rPr>
                <w:rFonts w:ascii="Calibri" w:cs="Calibri" w:eastAsia="Calibri" w:hAnsi="Calibri"/>
                <w:color w:val="2E3B45"/>
                <w:sz w:val="19"/>
                <w:szCs w:val="19"/>
              </w:rPr>
              <w:t xml:space="preserve">State what staff should monitor, record and escalate.</w:t>
            </w:r>
          </w:p>
        </w:tc>
      </w:tr>
    </w:tbl>
    <w:p>
      <w:pPr>
        <w:sectPr>
          <w:headerReference w:type="default" r:id="rId9"/>
          <w:footerReference w:type="default" r:id="rId10"/>
          <w:pgSz w:w="11906" w:h="16838" w:orient="portrait"/>
          <w:pgMar w:top="1300" w:right="1134" w:bottom="1134" w:left="1134" w:header="600" w:footer="500" w:gutter="0"/>
          <w:pgNumType/>
          <w:docGrid w:linePitch="360"/>
        </w:sectPr>
      </w:pPr>
    </w:p>
    <w:p>
      <w:pPr>
        <w:pStyle w:val="Heading1"/>
        <w:keepNext/>
      </w:pPr>
      <w:bookmarkStart w:name="s1" w:id="1"/>
      <w:r>
        <w:t xml:space="preserve">1  Why oral healthcare matters</w:t>
      </w:r>
      <w:bookmarkEnd w:id="1"/>
    </w:p>
    <w:p>
      <w:pPr>
        <w:spacing w:after="120" w:before="0" w:line="285"/>
      </w:pPr>
      <w:r>
        <w:rPr>
          <w:rFonts w:ascii="Calibri" w:cs="Calibri" w:eastAsia="Calibri" w:hAnsi="Calibri"/>
          <w:sz w:val="22"/>
          <w:szCs w:val="22"/>
        </w:rPr>
        <w:t xml:space="preserve">Oral health is part of a person’s overall health, wellbeing, nutrition, comfort and quality of life. People living in care homes may have increased oral health needs because of frailty, reduced dexterity, dementia, dry mouth, swallowing difficulties, medication, diet or other health conditions.</w:t>
      </w:r>
    </w:p>
    <w:p>
      <w:pPr>
        <w:pStyle w:val="ListParagraph"/>
        <w:numPr>
          <w:ilvl w:val="0"/>
          <w:numId w:val="2"/>
        </w:numPr>
        <w:spacing w:after="70" w:line="276"/>
      </w:pPr>
      <w:r>
        <w:rPr>
          <w:rFonts w:ascii="Calibri" w:cs="Calibri" w:eastAsia="Calibri" w:hAnsi="Calibri"/>
          <w:sz w:val="22"/>
          <w:szCs w:val="22"/>
        </w:rPr>
        <w:t xml:space="preserve">Oral healthcare should be treated as an essential part of everyday personal care, not as an optional extra.</w:t>
      </w:r>
    </w:p>
    <w:p>
      <w:pPr>
        <w:pStyle w:val="ListParagraph"/>
        <w:numPr>
          <w:ilvl w:val="0"/>
          <w:numId w:val="2"/>
        </w:numPr>
        <w:spacing w:after="70" w:line="276"/>
      </w:pPr>
      <w:r>
        <w:rPr>
          <w:rFonts w:ascii="Calibri" w:cs="Calibri" w:eastAsia="Calibri" w:hAnsi="Calibri"/>
          <w:sz w:val="22"/>
          <w:szCs w:val="22"/>
        </w:rPr>
        <w:t xml:space="preserve">Support should be based on the individual’s assessed needs, preferences, abilities and risks.</w:t>
      </w:r>
    </w:p>
    <w:p>
      <w:pPr>
        <w:pStyle w:val="ListParagraph"/>
        <w:numPr>
          <w:ilvl w:val="0"/>
          <w:numId w:val="2"/>
        </w:numPr>
        <w:spacing w:after="70" w:line="276"/>
      </w:pPr>
      <w:r>
        <w:rPr>
          <w:rFonts w:ascii="Calibri" w:cs="Calibri" w:eastAsia="Calibri" w:hAnsi="Calibri"/>
          <w:sz w:val="22"/>
          <w:szCs w:val="22"/>
        </w:rPr>
        <w:t xml:space="preserve">Where a person can manage their own mouth care, staff should support independence rather than taking over.</w:t>
      </w:r>
    </w:p>
    <w:p>
      <w:pPr>
        <w:pStyle w:val="ListParagraph"/>
        <w:numPr>
          <w:ilvl w:val="0"/>
          <w:numId w:val="2"/>
        </w:numPr>
        <w:spacing w:after="70" w:line="276"/>
      </w:pPr>
      <w:r>
        <w:rPr>
          <w:rFonts w:ascii="Calibri" w:cs="Calibri" w:eastAsia="Calibri" w:hAnsi="Calibri"/>
          <w:sz w:val="22"/>
          <w:szCs w:val="22"/>
        </w:rPr>
        <w:t xml:space="preserve">Where a person needs help, the care plan should tell staff exactly what support is required and how the person prefers that support to be provided.</w:t>
      </w:r>
    </w:p>
    <w:p>
      <w:pPr>
        <w:pStyle w:val="ListParagraph"/>
        <w:numPr>
          <w:ilvl w:val="0"/>
          <w:numId w:val="2"/>
        </w:numPr>
        <w:spacing w:after="70" w:line="276"/>
      </w:pPr>
      <w:r>
        <w:rPr>
          <w:rFonts w:ascii="Calibri" w:cs="Calibri" w:eastAsia="Calibri" w:hAnsi="Calibri"/>
          <w:sz w:val="22"/>
          <w:szCs w:val="22"/>
        </w:rPr>
        <w:t xml:space="preserve">Oral health needs can change, so assessments and care plans should be reviewed when there is a change in the person’s health, ability, preferences or oral health.</w:t>
      </w:r>
    </w:p>
    <w:p>
      <w:pPr>
        <w:pStyle w:val="Heading2"/>
        <w:keepNext/>
      </w:pPr>
      <w:r>
        <w:t xml:space="preserve">What the care home should have in place</w:t>
      </w:r>
    </w:p>
    <w:p>
      <w:pPr>
        <w:pStyle w:val="ListParagraph"/>
        <w:numPr>
          <w:ilvl w:val="0"/>
          <w:numId w:val="2"/>
        </w:numPr>
        <w:spacing w:after="70" w:line="276"/>
      </w:pPr>
      <w:r>
        <w:rPr>
          <w:rFonts w:ascii="Calibri" w:cs="Calibri" w:eastAsia="Calibri" w:hAnsi="Calibri"/>
          <w:sz w:val="22"/>
          <w:szCs w:val="22"/>
        </w:rPr>
        <w:t xml:space="preserve">An oral health policy or clear arrangements describing how the service promotes and protects residents’ oral health.</w:t>
      </w:r>
    </w:p>
    <w:p>
      <w:pPr>
        <w:pStyle w:val="ListParagraph"/>
        <w:numPr>
          <w:ilvl w:val="0"/>
          <w:numId w:val="2"/>
        </w:numPr>
        <w:spacing w:after="70" w:line="276"/>
      </w:pPr>
      <w:r>
        <w:rPr>
          <w:rFonts w:ascii="Calibri" w:cs="Calibri" w:eastAsia="Calibri" w:hAnsi="Calibri"/>
          <w:sz w:val="22"/>
          <w:szCs w:val="22"/>
        </w:rPr>
        <w:t xml:space="preserve">Appropriately trained staff who understand their role in supporting daily mouth care and recognising concerns.</w:t>
      </w:r>
    </w:p>
    <w:p>
      <w:pPr>
        <w:pStyle w:val="ListParagraph"/>
        <w:numPr>
          <w:ilvl w:val="0"/>
          <w:numId w:val="2"/>
        </w:numPr>
        <w:spacing w:after="70" w:line="276"/>
      </w:pPr>
      <w:r>
        <w:rPr>
          <w:rFonts w:ascii="Calibri" w:cs="Calibri" w:eastAsia="Calibri" w:hAnsi="Calibri"/>
          <w:sz w:val="22"/>
          <w:szCs w:val="22"/>
        </w:rPr>
        <w:t xml:space="preserve">An oral health assessment for each resident and an individual mouth care plan recorded in the person’s care plan.</w:t>
      </w:r>
    </w:p>
    <w:p>
      <w:pPr>
        <w:pStyle w:val="ListParagraph"/>
        <w:numPr>
          <w:ilvl w:val="0"/>
          <w:numId w:val="2"/>
        </w:numPr>
        <w:spacing w:after="70" w:line="276"/>
      </w:pPr>
      <w:r>
        <w:rPr>
          <w:rFonts w:ascii="Calibri" w:cs="Calibri" w:eastAsia="Calibri" w:hAnsi="Calibri"/>
          <w:sz w:val="22"/>
          <w:szCs w:val="22"/>
        </w:rPr>
        <w:t xml:space="preserve">Daily mouth care and appropriate products and equipment.</w:t>
      </w:r>
    </w:p>
    <w:p>
      <w:pPr>
        <w:pStyle w:val="ListParagraph"/>
        <w:numPr>
          <w:ilvl w:val="0"/>
          <w:numId w:val="2"/>
        </w:numPr>
        <w:spacing w:after="70" w:line="276"/>
      </w:pPr>
      <w:r>
        <w:rPr>
          <w:rFonts w:ascii="Calibri" w:cs="Calibri" w:eastAsia="Calibri" w:hAnsi="Calibri"/>
          <w:sz w:val="22"/>
          <w:szCs w:val="22"/>
        </w:rPr>
        <w:t xml:space="preserve">A process for recording mouth care, refusals and concerns, and for escalating problems.</w:t>
      </w:r>
    </w:p>
    <w:p>
      <w:pPr>
        <w:pStyle w:val="ListParagraph"/>
        <w:numPr>
          <w:ilvl w:val="0"/>
          <w:numId w:val="2"/>
        </w:numPr>
        <w:spacing w:after="70" w:line="276"/>
      </w:pPr>
      <w:r>
        <w:rPr>
          <w:rFonts w:ascii="Calibri" w:cs="Calibri" w:eastAsia="Calibri" w:hAnsi="Calibri"/>
          <w:sz w:val="22"/>
          <w:szCs w:val="22"/>
        </w:rPr>
        <w:t xml:space="preserve">Arrangements for routine and urgent dental care, with relevant dental information recorded.</w:t>
      </w:r>
    </w:p>
    <w:p>
      <w:pPr>
        <w:pStyle w:val="ListParagraph"/>
        <w:numPr>
          <w:ilvl w:val="0"/>
          <w:numId w:val="2"/>
        </w:numPr>
        <w:spacing w:after="70" w:line="276"/>
      </w:pPr>
      <w:r>
        <w:rPr>
          <w:rFonts w:ascii="Calibri" w:cs="Calibri" w:eastAsia="Calibri" w:hAnsi="Calibri"/>
          <w:sz w:val="22"/>
          <w:szCs w:val="22"/>
        </w:rPr>
        <w:t xml:space="preserve">A process for monitoring staff knowledge and competence and addressing training needs.</w:t>
      </w:r>
    </w:p>
    <w:p>
      <w:pPr>
        <w:spacing w:after="0" w:before="0" w:line="12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22808A" w:sz="32"/>
              <w:bottom w:val="none" w:color="FFFFFF" w:sz="0"/>
              <w:right w:val="none" w:color="FFFFFF" w:sz="0"/>
            </w:tcBorders>
            <w:shd w:fill="E8F3F5" w:color="auto" w:val="clear"/>
            <w:tcMar>
              <w:top w:type="dxa" w:w="120"/>
              <w:left w:type="dxa" w:w="200"/>
              <w:bottom w:type="dxa" w:w="100"/>
              <w:right w:type="dxa" w:w="160"/>
            </w:tcMar>
          </w:tcPr>
          <w:p>
            <w:pPr>
              <w:spacing w:after="0" w:before="0" w:line="270"/>
            </w:pPr>
            <w:r>
              <w:rPr>
                <w:rFonts w:ascii="Calibri" w:cs="Calibri" w:eastAsia="Calibri" w:hAnsi="Calibri"/>
                <w:sz w:val="21"/>
                <w:szCs w:val="21"/>
              </w:rPr>
              <w:t xml:space="preserve">These expectations are consistent with the source document and current CQC/NICE guidance. </w:t>
            </w:r>
            <w:r>
              <w:rPr>
                <w:rFonts w:ascii="Calibri" w:cs="Calibri" w:eastAsia="Calibri" w:hAnsi="Calibri"/>
                <w:b/>
                <w:bCs/>
                <w:sz w:val="21"/>
                <w:szCs w:val="21"/>
              </w:rPr>
              <w:t xml:space="preserve">CQC Regulation 9</w:t>
            </w:r>
            <w:r>
              <w:rPr>
                <w:rFonts w:ascii="Calibri" w:cs="Calibri" w:eastAsia="Calibri" w:hAnsi="Calibri"/>
                <w:sz w:val="21"/>
                <w:szCs w:val="21"/>
              </w:rPr>
              <w:t xml:space="preserve"> requires care to be appropriate, meet needs and reflect preferences, with people involved in assessment, planning and review.</w:t>
            </w:r>
          </w:p>
        </w:tc>
      </w:tr>
    </w:tbl>
    <w:p>
      <w:pPr>
        <w:spacing w:after="0" w:before="0" w:line="120"/>
      </w:pPr>
      <w:r>
        <w:rPr>
          <w:sz w:val="4"/>
          <w:szCs w:val="4"/>
        </w:rPr>
        <w:t xml:space="preserve"/>
      </w:r>
    </w:p>
    <w:p>
      <w:pPr>
        <w:pStyle w:val="Heading1"/>
        <w:keepNext/>
      </w:pPr>
      <w:bookmarkStart w:name="s2" w:id="2"/>
      <w:r>
        <w:t xml:space="preserve">2  Oral health assessment</w:t>
      </w:r>
      <w:bookmarkEnd w:id="2"/>
    </w:p>
    <w:p>
      <w:pPr>
        <w:keepNext/>
        <w:spacing w:after="120" w:before="0" w:line="285"/>
      </w:pPr>
      <w:r>
        <w:rPr>
          <w:rFonts w:ascii="Calibri" w:cs="Calibri" w:eastAsia="Calibri" w:hAnsi="Calibri"/>
          <w:sz w:val="22"/>
          <w:szCs w:val="22"/>
        </w:rPr>
        <w:t xml:space="preserve">The assessment should build a picture of the whole person, not simply record the condition of their teeth. It should identify what the person can do, what matters to them, what support they need and any factors that may increase oral health risk.</w:t>
      </w:r>
    </w:p>
    <w:p>
      <w:pPr>
        <w:pStyle w:val="ListParagraph"/>
        <w:numPr>
          <w:ilvl w:val="0"/>
          <w:numId w:val="2"/>
        </w:numPr>
        <w:spacing w:after="70" w:line="276"/>
      </w:pPr>
      <w:r>
        <w:rPr>
          <w:rFonts w:ascii="Calibri" w:cs="Calibri" w:eastAsia="Calibri" w:hAnsi="Calibri"/>
          <w:sz w:val="22"/>
          <w:szCs w:val="22"/>
        </w:rPr>
        <w:t xml:space="preserve">The condition of the teeth, gums, tongue, lips, oral tissues and dentures.</w:t>
      </w:r>
    </w:p>
    <w:p>
      <w:pPr>
        <w:pStyle w:val="ListParagraph"/>
        <w:numPr>
          <w:ilvl w:val="0"/>
          <w:numId w:val="2"/>
        </w:numPr>
        <w:spacing w:after="70" w:line="276"/>
      </w:pPr>
      <w:r>
        <w:rPr>
          <w:rFonts w:ascii="Calibri" w:cs="Calibri" w:eastAsia="Calibri" w:hAnsi="Calibri"/>
          <w:sz w:val="22"/>
          <w:szCs w:val="22"/>
        </w:rPr>
        <w:t xml:space="preserve">Any pain, swelling, bleeding, ulcers, broken teeth, loose teeth, changes in the mouth or other concerns.</w:t>
      </w:r>
    </w:p>
    <w:p>
      <w:pPr>
        <w:pStyle w:val="ListParagraph"/>
        <w:numPr>
          <w:ilvl w:val="0"/>
          <w:numId w:val="2"/>
        </w:numPr>
        <w:spacing w:after="70" w:line="276"/>
      </w:pPr>
      <w:r>
        <w:rPr>
          <w:rFonts w:ascii="Calibri" w:cs="Calibri" w:eastAsia="Calibri" w:hAnsi="Calibri"/>
          <w:sz w:val="22"/>
          <w:szCs w:val="22"/>
        </w:rPr>
        <w:t xml:space="preserve">Whether the person has a dentist, when they last attended and how they access dental care.</w:t>
      </w:r>
    </w:p>
    <w:p>
      <w:pPr>
        <w:pStyle w:val="ListParagraph"/>
        <w:numPr>
          <w:ilvl w:val="0"/>
          <w:numId w:val="2"/>
        </w:numPr>
        <w:spacing w:after="70" w:line="276"/>
      </w:pPr>
      <w:r>
        <w:rPr>
          <w:rFonts w:ascii="Calibri" w:cs="Calibri" w:eastAsia="Calibri" w:hAnsi="Calibri"/>
          <w:sz w:val="22"/>
          <w:szCs w:val="22"/>
        </w:rPr>
        <w:t xml:space="preserve">The person’s usual oral care routine and what they prefer.</w:t>
      </w:r>
    </w:p>
    <w:p>
      <w:pPr>
        <w:pStyle w:val="ListParagraph"/>
        <w:numPr>
          <w:ilvl w:val="0"/>
          <w:numId w:val="2"/>
        </w:numPr>
        <w:spacing w:after="70" w:line="276"/>
      </w:pPr>
      <w:r>
        <w:rPr>
          <w:rFonts w:ascii="Calibri" w:cs="Calibri" w:eastAsia="Calibri" w:hAnsi="Calibri"/>
          <w:sz w:val="22"/>
          <w:szCs w:val="22"/>
        </w:rPr>
        <w:t xml:space="preserve">What the person can do independently and what support is required.</w:t>
      </w:r>
    </w:p>
    <w:p>
      <w:pPr>
        <w:pStyle w:val="ListParagraph"/>
        <w:numPr>
          <w:ilvl w:val="0"/>
          <w:numId w:val="2"/>
        </w:numPr>
        <w:spacing w:after="70" w:line="276"/>
      </w:pPr>
      <w:r>
        <w:rPr>
          <w:rFonts w:ascii="Calibri" w:cs="Calibri" w:eastAsia="Calibri" w:hAnsi="Calibri"/>
          <w:sz w:val="22"/>
          <w:szCs w:val="22"/>
        </w:rPr>
        <w:t xml:space="preserve">Mobility, dexterity, communication and cognitive needs that affect mouth care.</w:t>
      </w:r>
    </w:p>
    <w:p>
      <w:pPr>
        <w:pStyle w:val="ListParagraph"/>
        <w:numPr>
          <w:ilvl w:val="0"/>
          <w:numId w:val="2"/>
        </w:numPr>
        <w:spacing w:after="70" w:line="276"/>
      </w:pPr>
      <w:r>
        <w:rPr>
          <w:rFonts w:ascii="Calibri" w:cs="Calibri" w:eastAsia="Calibri" w:hAnsi="Calibri"/>
          <w:sz w:val="22"/>
          <w:szCs w:val="22"/>
        </w:rPr>
        <w:t xml:space="preserve">Dry mouth, swallowing difficulties, modified diets, high-sugar food/drink intake and relevant medical conditions or treatments.</w:t>
      </w:r>
    </w:p>
    <w:p>
      <w:pPr>
        <w:pStyle w:val="ListParagraph"/>
        <w:numPr>
          <w:ilvl w:val="0"/>
          <w:numId w:val="2"/>
        </w:numPr>
        <w:spacing w:after="70" w:line="276"/>
      </w:pPr>
      <w:r>
        <w:rPr>
          <w:rFonts w:ascii="Calibri" w:cs="Calibri" w:eastAsia="Calibri" w:hAnsi="Calibri"/>
          <w:sz w:val="22"/>
          <w:szCs w:val="22"/>
        </w:rPr>
        <w:t xml:space="preserve">The person’s preferred toothbrush, toothpaste, denture products or other products they normally use.</w:t>
      </w:r>
    </w:p>
    <w:p>
      <w:pPr>
        <w:pStyle w:val="ListParagraph"/>
        <w:numPr>
          <w:ilvl w:val="0"/>
          <w:numId w:val="2"/>
        </w:numPr>
        <w:spacing w:after="70" w:line="276"/>
      </w:pPr>
      <w:r>
        <w:rPr>
          <w:rFonts w:ascii="Calibri" w:cs="Calibri" w:eastAsia="Calibri" w:hAnsi="Calibri"/>
          <w:sz w:val="22"/>
          <w:szCs w:val="22"/>
        </w:rPr>
        <w:t xml:space="preserve">How the person responds to mouth care and any approaches that make care easier or more acceptable.</w:t>
      </w:r>
    </w:p>
    <w:p>
      <w:pPr>
        <w:pStyle w:val="ListParagraph"/>
        <w:numPr>
          <w:ilvl w:val="0"/>
          <w:numId w:val="2"/>
        </w:numPr>
        <w:spacing w:after="70" w:line="276"/>
      </w:pPr>
      <w:r>
        <w:rPr>
          <w:rFonts w:ascii="Calibri" w:cs="Calibri" w:eastAsia="Calibri" w:hAnsi="Calibri"/>
          <w:sz w:val="22"/>
          <w:szCs w:val="22"/>
        </w:rPr>
        <w:t xml:space="preserve">Any involvement of family, friends, advocates or others who know the person well, where appropriate.</w:t>
      </w:r>
    </w:p>
    <w:p>
      <w:pPr>
        <w:pStyle w:val="Heading2"/>
        <w:keepNext/>
      </w:pPr>
      <w:r>
        <w:t xml:space="preserve">Assessment should lead to action</w:t>
      </w:r>
    </w:p>
    <w:p>
      <w:pPr>
        <w:spacing w:after="120" w:before="0" w:line="285"/>
      </w:pPr>
      <w:r>
        <w:rPr>
          <w:rFonts w:ascii="Calibri" w:cs="Calibri" w:eastAsia="Calibri" w:hAnsi="Calibri"/>
          <w:sz w:val="22"/>
          <w:szCs w:val="22"/>
        </w:rPr>
        <w:t xml:space="preserve">The assessment is not an end in itself. Any identified need should lead to a clear action in the care plan, for example additional support with brushing, management of dry mouth, replacement of a worn toothbrush, dental referral or a different approach to support the person to accept mouth care.</w:t>
      </w:r>
    </w:p>
    <w:p>
      <w:pPr>
        <w:spacing w:after="0" w:before="0" w:line="8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1B3A5C" w:sz="32"/>
              <w:bottom w:val="none" w:color="FFFFFF" w:sz="0"/>
              <w:right w:val="none" w:color="FFFFFF" w:sz="0"/>
            </w:tcBorders>
            <w:shd w:fill="EDF1F6" w:color="auto" w:val="clear"/>
            <w:tcMar>
              <w:top w:type="dxa" w:w="120"/>
              <w:left w:type="dxa" w:w="200"/>
              <w:bottom w:type="dxa" w:w="100"/>
              <w:right w:type="dxa" w:w="160"/>
            </w:tcMar>
          </w:tcPr>
          <w:p>
            <w:pPr>
              <w:spacing w:after="0" w:before="0" w:line="270"/>
            </w:pPr>
            <w:r>
              <w:rPr>
                <w:rFonts w:ascii="Calibri" w:cs="Calibri" w:eastAsia="Calibri" w:hAnsi="Calibri"/>
                <w:b/>
                <w:bCs/>
                <w:sz w:val="21"/>
                <w:szCs w:val="21"/>
              </w:rPr>
              <w:t xml:space="preserve">NICE quality guidance</w:t>
            </w:r>
            <w:r>
              <w:rPr>
                <w:rFonts w:ascii="Calibri" w:cs="Calibri" w:eastAsia="Calibri" w:hAnsi="Calibri"/>
                <w:sz w:val="21"/>
                <w:szCs w:val="21"/>
              </w:rPr>
              <w:t xml:space="preserve"> states that adults living in care homes should have their mouth care needs recorded in their personal care plan and that the plan should be regularly reviewed and updated when needs change.</w:t>
            </w:r>
          </w:p>
        </w:tc>
      </w:tr>
    </w:tbl>
    <w:p>
      <w:pPr>
        <w:spacing w:after="0" w:before="0" w:line="120"/>
      </w:pPr>
      <w:r>
        <w:rPr>
          <w:sz w:val="4"/>
          <w:szCs w:val="4"/>
        </w:rPr>
        <w:t xml:space="preserve"/>
      </w:r>
    </w:p>
    <w:p>
      <w:pPr>
        <w:pStyle w:val="Heading1"/>
        <w:keepNext/>
      </w:pPr>
      <w:bookmarkStart w:name="s3" w:id="3"/>
      <w:r>
        <w:t xml:space="preserve">3  The person-centred oral healthcare plan</w:t>
      </w:r>
      <w:bookmarkEnd w:id="3"/>
    </w:p>
    <w:p>
      <w:pPr>
        <w:spacing w:after="120" w:before="0" w:line="285"/>
      </w:pPr>
      <w:r>
        <w:rPr>
          <w:rFonts w:ascii="Calibri" w:cs="Calibri" w:eastAsia="Calibri" w:hAnsi="Calibri"/>
          <w:sz w:val="22"/>
          <w:szCs w:val="22"/>
        </w:rPr>
        <w:t xml:space="preserve">A care plan should not simply say “assist with oral care twice daily”. It should explain the individual’s needs, preferences and the practical support staff should provide. The plan should be meaningful to the person and useful to the staff member delivering care.</w:t>
      </w:r>
    </w:p>
    <w:p>
      <w:pPr>
        <w:pStyle w:val="Heading2"/>
        <w:keepNext/>
      </w:pPr>
      <w:r>
        <w:t xml:space="preserve">A good plan should answer six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0"/>
        <w:gridCol w:w="3000"/>
        <w:gridCol w:w="5998"/>
      </w:tblGrid>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1</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Who is this person?</w:t>
            </w:r>
          </w:p>
        </w:tc>
        <w:tc>
          <w:tcPr>
            <w:tcW w:type="dxa" w:w="5998"/>
            <w:tcBorders>
              <w:top w:val="single" w:color="FFFFFF" w:sz="8"/>
              <w:left w:val="single" w:color="FFFFFF" w:sz="8"/>
              <w:bottom w:val="single" w:color="FFFFFF" w:sz="8"/>
              <w:right w:val="single" w:color="FFFFFF" w:sz="8"/>
            </w:tcBorders>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What matters to them and what is important about their usual routine?</w:t>
            </w:r>
          </w:p>
        </w:tc>
      </w:tr>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2</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What can they do?</w:t>
            </w:r>
          </w:p>
        </w:tc>
        <w:tc>
          <w:tcPr>
            <w:tcW w:type="dxa" w:w="5998"/>
            <w:tcBorders>
              <w:top w:val="single" w:color="FFFFFF" w:sz="8"/>
              <w:left w:val="single" w:color="FFFFFF" w:sz="8"/>
              <w:bottom w:val="single" w:color="FFFFFF" w:sz="8"/>
              <w:right w:val="single" w:color="FFFFFF" w:sz="8"/>
            </w:tcBorders>
            <w:shd w:fill="F7FAFB" w:color="auto" w:val="clear"/>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What parts of mouth care can they manage independently?</w:t>
            </w:r>
          </w:p>
        </w:tc>
      </w:tr>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3</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What help do they need?</w:t>
            </w:r>
          </w:p>
        </w:tc>
        <w:tc>
          <w:tcPr>
            <w:tcW w:type="dxa" w:w="5998"/>
            <w:tcBorders>
              <w:top w:val="single" w:color="FFFFFF" w:sz="8"/>
              <w:left w:val="single" w:color="FFFFFF" w:sz="8"/>
              <w:bottom w:val="single" w:color="FFFFFF" w:sz="8"/>
              <w:right w:val="single" w:color="FFFFFF" w:sz="8"/>
            </w:tcBorders>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What exactly should staff do, and what should they encourage the person to do themselves?</w:t>
            </w:r>
          </w:p>
        </w:tc>
      </w:tr>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4</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How do they like care to be provided?</w:t>
            </w:r>
          </w:p>
        </w:tc>
        <w:tc>
          <w:tcPr>
            <w:tcW w:type="dxa" w:w="5998"/>
            <w:tcBorders>
              <w:top w:val="single" w:color="FFFFFF" w:sz="8"/>
              <w:left w:val="single" w:color="FFFFFF" w:sz="8"/>
              <w:bottom w:val="single" w:color="FFFFFF" w:sz="8"/>
              <w:right w:val="single" w:color="FFFFFF" w:sz="8"/>
            </w:tcBorders>
            <w:shd w:fill="F7FAFB" w:color="auto" w:val="clear"/>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When, where, with which products, and in what way?</w:t>
            </w:r>
          </w:p>
        </w:tc>
      </w:tr>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5</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What could make mouth care difficult?</w:t>
            </w:r>
          </w:p>
        </w:tc>
        <w:tc>
          <w:tcPr>
            <w:tcW w:type="dxa" w:w="5998"/>
            <w:tcBorders>
              <w:top w:val="single" w:color="FFFFFF" w:sz="8"/>
              <w:left w:val="single" w:color="FFFFFF" w:sz="8"/>
              <w:bottom w:val="single" w:color="FFFFFF" w:sz="8"/>
              <w:right w:val="single" w:color="FFFFFF" w:sz="8"/>
            </w:tcBorders>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Consider communication, dementia, pain, anxiety, dexterity, mobility, swallowing, dry mouth or previous experiences.</w:t>
            </w:r>
          </w:p>
        </w:tc>
      </w:tr>
      <w:tr>
        <w:trPr>
          <w:cantSplit/>
        </w:trPr>
        <w:tc>
          <w:tcPr>
            <w:tcW w:type="dxa" w:w="640"/>
            <w:tcBorders>
              <w:top w:val="single" w:color="FFFFFF" w:sz="8"/>
              <w:left w:val="single" w:color="FFFFFF" w:sz="8"/>
              <w:bottom w:val="single" w:color="FFFFFF" w:sz="8"/>
              <w:right w:val="single" w:color="FFFFFF" w:sz="8"/>
            </w:tcBorders>
            <w:shd w:fill="1B3A5C" w:color="auto" w:val="clear"/>
            <w:tcMar>
              <w:top w:type="dxa" w:w="70"/>
              <w:left w:type="dxa" w:w="110"/>
              <w:bottom w:type="dxa" w:w="50"/>
              <w:right w:type="dxa" w:w="110"/>
            </w:tcMar>
            <w:vAlign w:val="center"/>
          </w:tcPr>
          <w:p>
            <w:pPr>
              <w:spacing w:after="40" w:before="0" w:line="252"/>
              <w:jc w:val="center"/>
            </w:pPr>
            <w:r>
              <w:rPr>
                <w:rFonts w:ascii="Calibri" w:cs="Calibri" w:eastAsia="Calibri" w:hAnsi="Calibri"/>
                <w:b/>
                <w:bCs/>
                <w:color w:val="FFFFFF"/>
                <w:sz w:val="26"/>
                <w:szCs w:val="26"/>
              </w:rPr>
              <w:t xml:space="preserve">6</w:t>
            </w:r>
          </w:p>
        </w:tc>
        <w:tc>
          <w:tcPr>
            <w:tcW w:type="dxa" w:w="3000"/>
            <w:tcBorders>
              <w:top w:val="single" w:color="FFFFFF" w:sz="8"/>
              <w:left w:val="single" w:color="FFFFFF" w:sz="8"/>
              <w:bottom w:val="single" w:color="FFFFFF" w:sz="8"/>
              <w:right w:val="single" w:color="FFFFFF" w:sz="8"/>
            </w:tcBorders>
            <w:shd w:fill="E8F3F5" w:color="auto" w:val="clear"/>
            <w:tcMar>
              <w:top w:type="dxa" w:w="70"/>
              <w:left w:type="dxa" w:w="110"/>
              <w:bottom w:type="dxa" w:w="50"/>
              <w:right w:type="dxa" w:w="110"/>
            </w:tcMar>
            <w:vAlign w:val="center"/>
          </w:tcPr>
          <w:p>
            <w:pPr>
              <w:spacing w:after="40" w:before="0" w:line="252"/>
            </w:pPr>
            <w:r>
              <w:rPr>
                <w:rFonts w:ascii="Calibri" w:cs="Calibri" w:eastAsia="Calibri" w:hAnsi="Calibri"/>
                <w:b/>
                <w:bCs/>
                <w:color w:val="1B3A5C"/>
                <w:sz w:val="21"/>
                <w:szCs w:val="21"/>
              </w:rPr>
              <w:t xml:space="preserve">What happens if something changes?</w:t>
            </w:r>
          </w:p>
        </w:tc>
        <w:tc>
          <w:tcPr>
            <w:tcW w:type="dxa" w:w="5998"/>
            <w:tcBorders>
              <w:top w:val="single" w:color="FFFFFF" w:sz="8"/>
              <w:left w:val="single" w:color="FFFFFF" w:sz="8"/>
              <w:bottom w:val="single" w:color="FFFFFF" w:sz="8"/>
              <w:right w:val="single" w:color="FFFFFF" w:sz="8"/>
            </w:tcBorders>
            <w:shd w:fill="F7FAFB" w:color="auto" w:val="clear"/>
            <w:tcMar>
              <w:top w:type="dxa" w:w="70"/>
              <w:left w:type="dxa" w:w="110"/>
              <w:bottom w:type="dxa" w:w="50"/>
              <w:right w:type="dxa" w:w="110"/>
            </w:tcMar>
            <w:vAlign w:val="center"/>
          </w:tcPr>
          <w:p>
            <w:pPr>
              <w:spacing w:after="40" w:before="0" w:line="252"/>
            </w:pPr>
            <w:r>
              <w:rPr>
                <w:rFonts w:ascii="Calibri" w:cs="Calibri" w:eastAsia="Calibri" w:hAnsi="Calibri"/>
                <w:sz w:val="21"/>
                <w:szCs w:val="21"/>
              </w:rPr>
              <w:t xml:space="preserve">State what staff should monitor, record and escalate.</w:t>
            </w:r>
          </w:p>
        </w:tc>
      </w:tr>
    </w:tbl>
    <w:p>
      <w:pPr>
        <w:pStyle w:val="Heading2"/>
        <w:keepNext/>
      </w:pPr>
      <w:r>
        <w:t xml:space="preserve">Less useful and person-centred: the difference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rPr>
          <w:cantSplit/>
          <w:tblHeader/>
        </w:trPr>
        <w:tc>
          <w:tcPr>
            <w:tcW w:type="dxa" w:w="3400"/>
            <w:tcBorders>
              <w:top w:val="single" w:color="FFFFFF" w:sz="8"/>
              <w:left w:val="single" w:color="FFFFFF" w:sz="8"/>
              <w:bottom w:val="single" w:color="FFFFFF" w:sz="8"/>
              <w:right w:val="single" w:color="FFFFFF" w:sz="8"/>
            </w:tcBorders>
            <w:shd w:fill="B3261E" w:color="auto" w:val="clear"/>
            <w:tcMar>
              <w:top w:type="dxa" w:w="70"/>
              <w:left w:type="dxa" w:w="110"/>
              <w:bottom w:type="dxa" w:w="50"/>
              <w:right w:type="dxa" w:w="110"/>
            </w:tcMar>
            <w:vAlign w:val="top"/>
          </w:tcPr>
          <w:p>
            <w:pPr>
              <w:keepNext/>
              <w:spacing w:after="40" w:before="0" w:line="252"/>
            </w:pPr>
            <w:r>
              <w:rPr>
                <w:rFonts w:ascii="Calibri" w:cs="Calibri" w:eastAsia="Calibri" w:hAnsi="Calibri"/>
                <w:b/>
                <w:bCs/>
                <w:color w:val="FFFFFF"/>
                <w:sz w:val="21"/>
                <w:szCs w:val="21"/>
              </w:rPr>
              <w:t xml:space="preserve">Less useful</w:t>
            </w:r>
          </w:p>
        </w:tc>
        <w:tc>
          <w:tcPr>
            <w:tcW w:type="dxa" w:w="6238"/>
            <w:tcBorders>
              <w:top w:val="single" w:color="FFFFFF" w:sz="8"/>
              <w:left w:val="single" w:color="FFFFFF" w:sz="8"/>
              <w:bottom w:val="single" w:color="FFFFFF" w:sz="8"/>
              <w:right w:val="single" w:color="FFFFFF" w:sz="8"/>
            </w:tcBorders>
            <w:shd w:fill="22808A" w:color="auto" w:val="clear"/>
            <w:tcMar>
              <w:top w:type="dxa" w:w="70"/>
              <w:left w:type="dxa" w:w="110"/>
              <w:bottom w:type="dxa" w:w="50"/>
              <w:right w:type="dxa" w:w="110"/>
            </w:tcMar>
            <w:vAlign w:val="top"/>
          </w:tcPr>
          <w:p>
            <w:pPr>
              <w:keepNext/>
              <w:spacing w:after="40" w:before="0" w:line="252"/>
            </w:pPr>
            <w:r>
              <w:rPr>
                <w:rFonts w:ascii="Calibri" w:cs="Calibri" w:eastAsia="Calibri" w:hAnsi="Calibri"/>
                <w:b/>
                <w:bCs/>
                <w:color w:val="FFFFFF"/>
                <w:sz w:val="21"/>
                <w:szCs w:val="21"/>
              </w:rPr>
              <w:t xml:space="preserve">Person-centred</w:t>
            </w:r>
          </w:p>
        </w:tc>
      </w:tr>
      <w:tr>
        <w:trPr>
          <w:cantSplit/>
        </w:trPr>
        <w:tc>
          <w:tcPr>
            <w:tcW w:type="dxa" w:w="3400"/>
            <w:tcBorders>
              <w:top w:val="single" w:color="FFFFFF" w:sz="8"/>
              <w:left w:val="single" w:color="FFFFFF" w:sz="8"/>
              <w:bottom w:val="single" w:color="FFFFFF" w:sz="8"/>
              <w:right w:val="single" w:color="FFFFFF" w:sz="8"/>
            </w:tcBorders>
            <w:shd w:fill="FCEBE9" w:color="auto" w:val="clear"/>
            <w:tcMar>
              <w:top w:type="dxa" w:w="100"/>
              <w:left w:type="dxa" w:w="110"/>
              <w:bottom w:type="dxa" w:w="100"/>
              <w:right w:type="dxa" w:w="110"/>
            </w:tcMar>
            <w:vAlign w:val="top"/>
          </w:tcPr>
          <w:p>
            <w:pPr>
              <w:keepNext/>
              <w:spacing w:after="40" w:before="0" w:line="252"/>
            </w:pPr>
            <w:r>
              <w:rPr>
                <w:rFonts w:ascii="Calibri" w:cs="Calibri" w:eastAsia="Calibri" w:hAnsi="Calibri"/>
                <w:i/>
                <w:iCs/>
                <w:sz w:val="20"/>
                <w:szCs w:val="20"/>
              </w:rPr>
              <w:t xml:space="preserve">“Assist with brushing teeth twice daily.”</w:t>
            </w:r>
          </w:p>
        </w:tc>
        <w:tc>
          <w:tcPr>
            <w:tcW w:type="dxa" w:w="6238"/>
            <w:tcBorders>
              <w:top w:val="single" w:color="FFFFFF" w:sz="8"/>
              <w:left w:val="single" w:color="FFFFFF" w:sz="8"/>
              <w:bottom w:val="single" w:color="FFFFFF" w:sz="8"/>
              <w:right w:val="single" w:color="FFFFFF" w:sz="8"/>
            </w:tcBorders>
            <w:shd w:fill="E8F3F5" w:color="auto" w:val="clear"/>
            <w:tcMar>
              <w:top w:type="dxa" w:w="100"/>
              <w:left w:type="dxa" w:w="110"/>
              <w:bottom w:type="dxa" w:w="100"/>
              <w:right w:type="dxa" w:w="110"/>
            </w:tcMar>
            <w:vAlign w:val="top"/>
          </w:tcPr>
          <w:p>
            <w:pPr>
              <w:keepNext/>
              <w:spacing w:after="40" w:before="0" w:line="252"/>
            </w:pPr>
            <w:r>
              <w:rPr>
                <w:rFonts w:ascii="Calibri" w:cs="Calibri" w:eastAsia="Calibri" w:hAnsi="Calibri"/>
                <w:i/>
                <w:iCs/>
                <w:sz w:val="20"/>
                <w:szCs w:val="20"/>
              </w:rPr>
              <w:t xml:space="preserve">“Mrs A prefers to brush her teeth after breakfast and before bed. She likes her small-headed soft toothbrush and fluoride toothpaste. She can brush the front teeth herself but needs support to reach the back teeth. Staff should give her time to start independently, then offer support if needed.”</w:t>
            </w:r>
          </w:p>
        </w:tc>
      </w:tr>
      <w:tr>
        <w:trPr>
          <w:cantSplit/>
        </w:trPr>
        <w:tc>
          <w:tcPr>
            <w:tcW w:type="dxa" w:w="3400"/>
            <w:tcBorders>
              <w:top w:val="single" w:color="FFFFFF" w:sz="8"/>
              <w:left w:val="single" w:color="FFFFFF" w:sz="8"/>
              <w:bottom w:val="single" w:color="FFFFFF" w:sz="8"/>
              <w:right w:val="single" w:color="FFFFFF" w:sz="8"/>
            </w:tcBorders>
            <w:shd w:fill="FCEBE9" w:color="auto" w:val="clear"/>
            <w:tcMar>
              <w:top w:type="dxa" w:w="100"/>
              <w:left w:type="dxa" w:w="110"/>
              <w:bottom w:type="dxa" w:w="100"/>
              <w:right w:type="dxa" w:w="110"/>
            </w:tcMar>
            <w:vAlign w:val="top"/>
          </w:tcPr>
          <w:p>
            <w:pPr>
              <w:spacing w:after="40" w:before="0" w:line="252"/>
            </w:pPr>
            <w:r>
              <w:rPr>
                <w:rFonts w:ascii="Calibri" w:cs="Calibri" w:eastAsia="Calibri" w:hAnsi="Calibri"/>
                <w:i/>
                <w:iCs/>
                <w:sz w:val="20"/>
                <w:szCs w:val="20"/>
              </w:rPr>
              <w:t xml:space="preserve">“Resident refuses mouth care.”</w:t>
            </w:r>
          </w:p>
        </w:tc>
        <w:tc>
          <w:tcPr>
            <w:tcW w:type="dxa" w:w="6238"/>
            <w:tcBorders>
              <w:top w:val="single" w:color="FFFFFF" w:sz="8"/>
              <w:left w:val="single" w:color="FFFFFF" w:sz="8"/>
              <w:bottom w:val="single" w:color="FFFFFF" w:sz="8"/>
              <w:right w:val="single" w:color="FFFFFF" w:sz="8"/>
            </w:tcBorders>
            <w:shd w:fill="E8F3F5" w:color="auto" w:val="clear"/>
            <w:tcMar>
              <w:top w:type="dxa" w:w="100"/>
              <w:left w:type="dxa" w:w="110"/>
              <w:bottom w:type="dxa" w:w="100"/>
              <w:right w:type="dxa" w:w="110"/>
            </w:tcMar>
            <w:vAlign w:val="top"/>
          </w:tcPr>
          <w:p>
            <w:pPr>
              <w:spacing w:after="40" w:before="0" w:line="252"/>
            </w:pPr>
            <w:r>
              <w:rPr>
                <w:rFonts w:ascii="Calibri" w:cs="Calibri" w:eastAsia="Calibri" w:hAnsi="Calibri"/>
                <w:i/>
                <w:iCs/>
                <w:sz w:val="20"/>
                <w:szCs w:val="20"/>
              </w:rPr>
              <w:t xml:space="preserve">“Mr B becomes anxious if staff approach him quickly. Explain what you are going to do, offer a choice of timing and allow him time to respond. He is more accepting when familiar staff support him. If he declines, do not force care; record the refusal, try again later where appropriate and follow the agreed approach.”</w:t>
            </w:r>
          </w:p>
        </w:tc>
      </w:tr>
    </w:tbl>
    <w:p>
      <w:pPr>
        <w:spacing w:after="0" w:before="0" w:line="120"/>
      </w:pPr>
      <w:r>
        <w:rPr>
          <w:sz w:val="4"/>
          <w:szCs w:val="4"/>
        </w:rPr>
        <w:t xml:space="preserve"/>
      </w:r>
    </w:p>
    <w:p>
      <w:pPr>
        <w:pStyle w:val="Heading1"/>
        <w:keepNext/>
      </w:pPr>
      <w:bookmarkStart w:name="s4" w:id="4"/>
      <w:r>
        <w:t xml:space="preserve">4  What should be recorded in the care plan?</w:t>
      </w:r>
      <w:bookmarkEnd w:id="4"/>
    </w:p>
    <w:p>
      <w:pPr>
        <w:keepNext/>
        <w:spacing w:after="120" w:before="0" w:line="285"/>
      </w:pPr>
      <w:r>
        <w:rPr>
          <w:rFonts w:ascii="Calibri" w:cs="Calibri" w:eastAsia="Calibri" w:hAnsi="Calibri"/>
          <w:sz w:val="22"/>
          <w:szCs w:val="22"/>
        </w:rPr>
        <w:t xml:space="preserve">The care plan should contain enough detail that a member of staff who knows the person less well can provide consistent, respectful and safe mouth care.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blHeader/>
        </w:trPr>
        <w:tc>
          <w:tcPr>
            <w:tcW w:type="dxa" w:w="25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val="false"/>
              <w:spacing w:after="40" w:before="0" w:line="252"/>
            </w:pPr>
            <w:r>
              <w:rPr>
                <w:rFonts w:ascii="Calibri" w:cs="Calibri" w:eastAsia="Calibri" w:hAnsi="Calibri"/>
                <w:b/>
                <w:bCs/>
                <w:color w:val="FFFFFF"/>
                <w:sz w:val="20"/>
                <w:szCs w:val="20"/>
              </w:rPr>
              <w:t xml:space="preserve">Heading</w:t>
            </w:r>
          </w:p>
        </w:tc>
        <w:tc>
          <w:tcPr>
            <w:tcW w:type="dxa" w:w="7138"/>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val="false"/>
              <w:spacing w:after="40" w:before="0" w:line="252"/>
            </w:pPr>
            <w:r>
              <w:rPr>
                <w:rFonts w:ascii="Calibri" w:cs="Calibri" w:eastAsia="Calibri" w:hAnsi="Calibri"/>
                <w:b/>
                <w:bCs/>
                <w:color w:val="FFFFFF"/>
                <w:sz w:val="20"/>
                <w:szCs w:val="20"/>
              </w:rPr>
              <w:t xml:space="preserve">What to record</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What matters to me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The person’s preferences, routines, cultural or personal considerations, and anything that makes mouth care comfortable or uncomfortable.</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My usual routine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Preferred time(s), location, sequence and whether the person likes to do their own mouth care before staff assist.</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What I can do myself</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Which parts of toothbrushing, interdental cleaning or denture care the person can manage independently.</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Support I need</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The exact level of help required: prompting, set-up, supervision, partial assistance or full assistance.</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How staff should support me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Communication style, pace, positioning, consent, reassurance, reasonable adjustments and approaches that help the person accept care.</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Toothbrush and toothpaste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Type of toothbrush and toothpaste to use, including any professional advice or product preference.</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Dentures</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Whether the person has full or partial dentures, how they prefer them managed, cleaning arrangements, storage and relevant concerns about fit.</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Other oral care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Any additional products or measures recommended for the individual, including dry-mouth management where appropriate.</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Oral health risks</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Relevant risks such as dry mouth, high sugar intake, dysphagia, modified diet, diabetes, cancer treatment, reduced dexterity or cognitive impairment.</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Dental care</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Usual dentist, how appointments are accessed, next planned appointment and outcomes of recent visits.</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Monitoring and escalation</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What staff should look for and who to contact if there is pain, swelling, bleeding, ulcers, broken teeth, loose teeth, changes in dentures or other concerns.</w:t>
            </w:r>
          </w:p>
        </w:tc>
      </w:tr>
      <w:tr>
        <w:trPr>
          <w:cantSplit/>
        </w:trPr>
        <w:tc>
          <w:tcPr>
            <w:tcW w:type="dxa" w:w="25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Review</w:t>
            </w:r>
          </w:p>
        </w:tc>
        <w:tc>
          <w:tcPr>
            <w:tcW w:type="dxa" w:w="7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The review date and circumstances that should trigger an earlier review, such as a change in health, ability, behaviour, oral condition or preference.</w:t>
            </w:r>
          </w:p>
        </w:tc>
      </w:tr>
    </w:tbl>
    <w:p>
      <w:pPr>
        <w:spacing w:after="0" w:before="0" w:line="120"/>
      </w:pPr>
      <w:r>
        <w:rPr>
          <w:sz w:val="4"/>
          <w:szCs w:val="4"/>
        </w:rPr>
        <w:t xml:space="preserve"/>
      </w:r>
    </w:p>
    <w:p>
      <w:pPr>
        <w:pStyle w:val="Heading1"/>
        <w:keepNext/>
      </w:pPr>
      <w:bookmarkStart w:name="s5" w:id="5"/>
      <w:r>
        <w:t xml:space="preserve">5  Person-centred planning in practice</w:t>
      </w:r>
      <w:bookmarkEnd w:id="5"/>
    </w:p>
    <w:p>
      <w:pPr>
        <w:pStyle w:val="Heading2"/>
        <w:keepNext/>
      </w:pPr>
      <w:r>
        <w:t xml:space="preserve">Start with the person, not the task</w:t>
      </w:r>
    </w:p>
    <w:p>
      <w:pPr>
        <w:spacing w:after="120" w:before="0" w:line="285"/>
      </w:pPr>
      <w:r>
        <w:rPr>
          <w:rFonts w:ascii="Calibri" w:cs="Calibri" w:eastAsia="Calibri" w:hAnsi="Calibri"/>
          <w:sz w:val="22"/>
          <w:szCs w:val="22"/>
        </w:rPr>
        <w:t xml:space="preserve">Avoid writing the care plan as a list of instructions that could apply to anyone. Record what is individual about this resident: what they prefer, what they can do, what they find difficult, what helps and what staff need to do differently.</w:t>
      </w:r>
    </w:p>
    <w:p>
      <w:pPr>
        <w:pStyle w:val="Heading2"/>
        <w:keepNext/>
      </w:pPr>
      <w:r>
        <w:t xml:space="preserve">Support independence</w:t>
      </w:r>
    </w:p>
    <w:p>
      <w:pPr>
        <w:spacing w:after="120" w:before="0" w:line="285"/>
      </w:pPr>
      <w:r>
        <w:rPr>
          <w:rFonts w:ascii="Calibri" w:cs="Calibri" w:eastAsia="Calibri" w:hAnsi="Calibri"/>
          <w:sz w:val="22"/>
          <w:szCs w:val="22"/>
        </w:rPr>
        <w:t xml:space="preserve">Where possible, allow the person to manage their own mouth care. Identify the parts they can complete and the specific support needed for the parts they cannot. This can change over time and should be reviewed.</w:t>
      </w:r>
    </w:p>
    <w:p>
      <w:pPr>
        <w:pStyle w:val="Heading2"/>
        <w:keepNext/>
      </w:pPr>
      <w:r>
        <w:t xml:space="preserve">Consent, capacity and involvement</w:t>
      </w:r>
    </w:p>
    <w:p>
      <w:pPr>
        <w:spacing w:after="120" w:before="0" w:line="285"/>
      </w:pPr>
      <w:r>
        <w:rPr>
          <w:rFonts w:ascii="Calibri" w:cs="Calibri" w:eastAsia="Calibri" w:hAnsi="Calibri"/>
          <w:sz w:val="22"/>
          <w:szCs w:val="22"/>
        </w:rPr>
        <w:t xml:space="preserve">Involve the person in assessment, planning and review as much as they wish and are able to. Where a person lacks capacity for a specific decision, staff should follow the Mental Capacity Act and involve appropriate people in line with the person’s circumstances.</w:t>
      </w:r>
    </w:p>
    <w:p>
      <w:pPr>
        <w:pStyle w:val="Heading2"/>
        <w:keepNext/>
      </w:pPr>
      <w:r>
        <w:t xml:space="preserve">Preferences are meaningful</w:t>
      </w:r>
    </w:p>
    <w:p>
      <w:pPr>
        <w:spacing w:after="120" w:before="0" w:line="285"/>
      </w:pPr>
      <w:r>
        <w:rPr>
          <w:rFonts w:ascii="Calibri" w:cs="Calibri" w:eastAsia="Calibri" w:hAnsi="Calibri"/>
          <w:sz w:val="22"/>
          <w:szCs w:val="22"/>
        </w:rPr>
        <w:t xml:space="preserve">Record practical preferences such as when the person likes mouth care, where they prefer to do it, which products they like, who they are comfortable supporting them, how they communicate and what approaches they dislike.</w:t>
      </w:r>
    </w:p>
    <w:p>
      <w:pPr>
        <w:pStyle w:val="Heading2"/>
        <w:keepNext/>
      </w:pPr>
      <w:r>
        <w:t xml:space="preserve">Do not confuse distress or refusal with non-compliance</w:t>
      </w:r>
    </w:p>
    <w:p>
      <w:pPr>
        <w:spacing w:after="120" w:before="0" w:line="285"/>
      </w:pPr>
      <w:r>
        <w:rPr>
          <w:rFonts w:ascii="Calibri" w:cs="Calibri" w:eastAsia="Calibri" w:hAnsi="Calibri"/>
          <w:sz w:val="22"/>
          <w:szCs w:val="22"/>
        </w:rPr>
        <w:t xml:space="preserve">If a person repeatedly declines or becomes distressed, the plan should describe possible reasons and agreed approaches to try. Staff should not force care. Record what happened and follow the home’s escalation and review process.</w:t>
      </w:r>
    </w:p>
    <w:p>
      <w:pPr>
        <w:spacing w:after="0" w:before="0" w:line="8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22808A" w:sz="32"/>
              <w:bottom w:val="none" w:color="FFFFFF" w:sz="0"/>
              <w:right w:val="none" w:color="FFFFFF" w:sz="0"/>
            </w:tcBorders>
            <w:shd w:fill="E8F3F5" w:color="auto" w:val="clear"/>
            <w:tcMar>
              <w:top w:type="dxa" w:w="120"/>
              <w:left w:type="dxa" w:w="200"/>
              <w:bottom w:type="dxa" w:w="100"/>
              <w:right w:type="dxa" w:w="160"/>
            </w:tcMar>
          </w:tcPr>
          <w:p>
            <w:pPr>
              <w:keepNext/>
              <w:spacing w:after="60"/>
            </w:pPr>
            <w:r>
              <w:rPr>
                <w:rFonts w:ascii="Calibri" w:cs="Calibri" w:eastAsia="Calibri" w:hAnsi="Calibri"/>
                <w:b/>
                <w:bCs/>
                <w:color w:val="22808A"/>
                <w:sz w:val="22"/>
                <w:szCs w:val="22"/>
              </w:rPr>
              <w:t xml:space="preserve">Examples of useful person-centred wording</w:t>
            </w:r>
          </w:p>
          <w:p>
            <w:pPr>
              <w:pStyle w:val="ListParagraph"/>
              <w:numPr>
                <w:ilvl w:val="0"/>
                <w:numId w:val="3"/>
              </w:numPr>
              <w:spacing w:after="40" w:line="264"/>
            </w:pPr>
            <w:r>
              <w:rPr>
                <w:rFonts w:ascii="Calibri" w:cs="Calibri" w:eastAsia="Calibri" w:hAnsi="Calibri"/>
                <w:sz w:val="21"/>
                <w:szCs w:val="21"/>
              </w:rPr>
              <w:t xml:space="preserve">“I prefer to brush my teeth after breakfast rather than immediately after waking.”</w:t>
            </w:r>
          </w:p>
          <w:p>
            <w:pPr>
              <w:pStyle w:val="ListParagraph"/>
              <w:numPr>
                <w:ilvl w:val="0"/>
                <w:numId w:val="3"/>
              </w:numPr>
              <w:spacing w:after="40" w:line="264"/>
            </w:pPr>
            <w:r>
              <w:rPr>
                <w:rFonts w:ascii="Calibri" w:cs="Calibri" w:eastAsia="Calibri" w:hAnsi="Calibri"/>
                <w:sz w:val="21"/>
                <w:szCs w:val="21"/>
              </w:rPr>
              <w:t xml:space="preserve">“I can brush my front teeth myself. Please prompt me and help with the back teeth if I am struggling.”</w:t>
            </w:r>
          </w:p>
          <w:p>
            <w:pPr>
              <w:pStyle w:val="ListParagraph"/>
              <w:numPr>
                <w:ilvl w:val="0"/>
                <w:numId w:val="3"/>
              </w:numPr>
              <w:spacing w:after="40" w:line="264"/>
            </w:pPr>
            <w:r>
              <w:rPr>
                <w:rFonts w:ascii="Calibri" w:cs="Calibri" w:eastAsia="Calibri" w:hAnsi="Calibri"/>
                <w:sz w:val="21"/>
                <w:szCs w:val="21"/>
              </w:rPr>
              <w:t xml:space="preserve">“I become anxious if someone stands over me. Please explain what you are doing and give me time.”</w:t>
            </w:r>
          </w:p>
          <w:p>
            <w:pPr>
              <w:pStyle w:val="ListParagraph"/>
              <w:numPr>
                <w:ilvl w:val="0"/>
                <w:numId w:val="3"/>
              </w:numPr>
              <w:spacing w:after="40" w:line="264"/>
            </w:pPr>
            <w:r>
              <w:rPr>
                <w:rFonts w:ascii="Calibri" w:cs="Calibri" w:eastAsia="Calibri" w:hAnsi="Calibri"/>
                <w:sz w:val="21"/>
                <w:szCs w:val="21"/>
              </w:rPr>
              <w:t xml:space="preserve">“I prefer a small-headed toothbrush and mint toothpaste.”</w:t>
            </w:r>
          </w:p>
          <w:p>
            <w:pPr>
              <w:pStyle w:val="ListParagraph"/>
              <w:numPr>
                <w:ilvl w:val="0"/>
                <w:numId w:val="3"/>
              </w:numPr>
              <w:spacing w:after="40" w:line="264"/>
            </w:pPr>
            <w:r>
              <w:rPr>
                <w:rFonts w:ascii="Calibri" w:cs="Calibri" w:eastAsia="Calibri" w:hAnsi="Calibri"/>
                <w:sz w:val="21"/>
                <w:szCs w:val="21"/>
              </w:rPr>
              <w:t xml:space="preserve">“My daughter knows my usual denture routine and can help staff if needed.”</w:t>
            </w:r>
          </w:p>
        </w:tc>
      </w:tr>
    </w:tbl>
    <w:p>
      <w:pPr>
        <w:spacing w:after="0" w:before="0" w:line="120"/>
      </w:pPr>
      <w:r>
        <w:rPr>
          <w:sz w:val="4"/>
          <w:szCs w:val="4"/>
        </w:rPr>
        <w:t xml:space="preserve"/>
      </w:r>
    </w:p>
    <w:p>
      <w:pPr>
        <w:pStyle w:val="Heading1"/>
        <w:keepNext/>
      </w:pPr>
      <w:bookmarkStart w:name="s6" w:id="6"/>
      <w:r>
        <w:t xml:space="preserve">6  Daily mouth care and recording</w:t>
      </w:r>
      <w:bookmarkEnd w:id="6"/>
    </w:p>
    <w:p>
      <w:pPr>
        <w:spacing w:after="120" w:before="0" w:line="285"/>
      </w:pPr>
      <w:r>
        <w:rPr>
          <w:rFonts w:ascii="Calibri" w:cs="Calibri" w:eastAsia="Calibri" w:hAnsi="Calibri"/>
          <w:sz w:val="22"/>
          <w:szCs w:val="22"/>
        </w:rPr>
        <w:t xml:space="preserve">The daily record should show that care was offered and provided, while avoiding unnecessary tick-box recording that gives no useful information. Where care could not be completed, the record should explain what happened and what action was taken.</w:t>
      </w:r>
    </w:p>
    <w:p>
      <w:pPr>
        <w:pStyle w:val="Heading2"/>
        <w:keepNext/>
      </w:pPr>
      <w:r>
        <w:t xml:space="preserve">Record</w:t>
      </w:r>
    </w:p>
    <w:p>
      <w:pPr>
        <w:pStyle w:val="ListParagraph"/>
        <w:numPr>
          <w:ilvl w:val="0"/>
          <w:numId w:val="2"/>
        </w:numPr>
        <w:spacing w:after="70" w:line="276"/>
      </w:pPr>
      <w:r>
        <w:rPr>
          <w:rFonts w:ascii="Calibri" w:cs="Calibri" w:eastAsia="Calibri" w:hAnsi="Calibri"/>
          <w:sz w:val="22"/>
          <w:szCs w:val="22"/>
        </w:rPr>
        <w:t xml:space="preserve">Whether mouth care was provided.</w:t>
      </w:r>
    </w:p>
    <w:p>
      <w:pPr>
        <w:pStyle w:val="ListParagraph"/>
        <w:numPr>
          <w:ilvl w:val="0"/>
          <w:numId w:val="2"/>
        </w:numPr>
        <w:spacing w:after="70" w:line="276"/>
      </w:pPr>
      <w:r>
        <w:rPr>
          <w:rFonts w:ascii="Calibri" w:cs="Calibri" w:eastAsia="Calibri" w:hAnsi="Calibri"/>
          <w:sz w:val="22"/>
          <w:szCs w:val="22"/>
        </w:rPr>
        <w:t xml:space="preserve">Any significant difficulty or change from the usual plan.</w:t>
      </w:r>
    </w:p>
    <w:p>
      <w:pPr>
        <w:pStyle w:val="ListParagraph"/>
        <w:numPr>
          <w:ilvl w:val="0"/>
          <w:numId w:val="2"/>
        </w:numPr>
        <w:spacing w:after="70" w:line="276"/>
      </w:pPr>
      <w:r>
        <w:rPr>
          <w:rFonts w:ascii="Calibri" w:cs="Calibri" w:eastAsia="Calibri" w:hAnsi="Calibri"/>
          <w:sz w:val="22"/>
          <w:szCs w:val="22"/>
        </w:rPr>
        <w:t xml:space="preserve">If the person declined or became distressed, what was tried and what happened next.</w:t>
      </w:r>
    </w:p>
    <w:p>
      <w:pPr>
        <w:pStyle w:val="ListParagraph"/>
        <w:numPr>
          <w:ilvl w:val="0"/>
          <w:numId w:val="2"/>
        </w:numPr>
        <w:spacing w:after="70" w:line="276"/>
      </w:pPr>
      <w:r>
        <w:rPr>
          <w:rFonts w:ascii="Calibri" w:cs="Calibri" w:eastAsia="Calibri" w:hAnsi="Calibri"/>
          <w:sz w:val="22"/>
          <w:szCs w:val="22"/>
        </w:rPr>
        <w:t xml:space="preserve">If the whole mouth could not be cleaned, which areas were completed and which were missed.</w:t>
      </w:r>
    </w:p>
    <w:p>
      <w:pPr>
        <w:pStyle w:val="ListParagraph"/>
        <w:numPr>
          <w:ilvl w:val="0"/>
          <w:numId w:val="2"/>
        </w:numPr>
        <w:spacing w:after="70" w:line="276"/>
      </w:pPr>
      <w:r>
        <w:rPr>
          <w:rFonts w:ascii="Calibri" w:cs="Calibri" w:eastAsia="Calibri" w:hAnsi="Calibri"/>
          <w:sz w:val="22"/>
          <w:szCs w:val="22"/>
        </w:rPr>
        <w:t xml:space="preserve">Any new concerns that require escalation.</w:t>
      </w:r>
    </w:p>
    <w:p>
      <w:pPr>
        <w:pStyle w:val="Heading2"/>
        <w:keepNext/>
      </w:pPr>
      <w:r>
        <w:t xml:space="preserve">Example daily record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000"/>
        <w:gridCol w:w="2200"/>
        <w:gridCol w:w="3138"/>
      </w:tblGrid>
      <w:tr>
        <w:trPr>
          <w:cantSplit/>
          <w:tblHeader/>
        </w:trPr>
        <w:tc>
          <w:tcPr>
            <w:tcW w:type="dxa" w:w="13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Resident</w:t>
            </w:r>
          </w:p>
        </w:tc>
        <w:tc>
          <w:tcPr>
            <w:tcW w:type="dxa" w:w="30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Morning</w:t>
            </w:r>
          </w:p>
        </w:tc>
        <w:tc>
          <w:tcPr>
            <w:tcW w:type="dxa" w:w="22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Evening</w:t>
            </w:r>
          </w:p>
        </w:tc>
        <w:tc>
          <w:tcPr>
            <w:tcW w:type="dxa" w:w="3138"/>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Notes / action</w:t>
            </w:r>
          </w:p>
        </w:tc>
      </w:tr>
      <w:tr>
        <w:trPr>
          <w:cantSplit/>
        </w:trPr>
        <w:tc>
          <w:tcPr>
            <w:tcW w:type="dxa" w:w="13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spacing w:after="40" w:before="0" w:line="252"/>
            </w:pPr>
            <w:r>
              <w:rPr>
                <w:rFonts w:ascii="Calibri" w:cs="Calibri" w:eastAsia="Calibri" w:hAnsi="Calibri"/>
                <w:b/>
                <w:bCs/>
                <w:sz w:val="20"/>
                <w:szCs w:val="20"/>
              </w:rPr>
              <w:t xml:space="preserve">Mrs A</w:t>
            </w:r>
          </w:p>
        </w:tc>
        <w:tc>
          <w:tcPr>
            <w:tcW w:type="dxa" w:w="30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Completed with prompting</w:t>
            </w:r>
          </w:p>
        </w:tc>
        <w:tc>
          <w:tcPr>
            <w:tcW w:type="dxa" w:w="22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Completed independently</w:t>
            </w:r>
          </w:p>
        </w:tc>
        <w:tc>
          <w:tcPr>
            <w:tcW w:type="dxa" w:w="3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No concerns</w:t>
            </w:r>
          </w:p>
        </w:tc>
      </w:tr>
      <w:tr>
        <w:trPr>
          <w:cantSplit/>
        </w:trPr>
        <w:tc>
          <w:tcPr>
            <w:tcW w:type="dxa" w:w="1300"/>
            <w:tcBorders>
              <w:top w:val="single" w:color="C5D3DC" w:sz="4"/>
              <w:left w:val="single" w:color="C5D3DC" w:sz="4"/>
              <w:bottom w:val="single" w:color="C5D3DC" w:sz="4"/>
              <w:right w:val="single" w:color="C5D3DC" w:sz="4"/>
            </w:tcBorders>
            <w:shd w:fill="E8F3F5"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Mr B</w:t>
            </w:r>
          </w:p>
        </w:tc>
        <w:tc>
          <w:tcPr>
            <w:tcW w:type="dxa" w:w="30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Declined initially; tried again after breakfast and accepted support</w:t>
            </w:r>
          </w:p>
        </w:tc>
        <w:tc>
          <w:tcPr>
            <w:tcW w:type="dxa" w:w="22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Completed with support</w:t>
            </w:r>
          </w:p>
        </w:tc>
        <w:tc>
          <w:tcPr>
            <w:tcW w:type="dxa" w:w="31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Approach recorded in care plan; monitor acceptance</w:t>
            </w:r>
          </w:p>
        </w:tc>
      </w:tr>
    </w:tbl>
    <w:p>
      <w:pPr>
        <w:spacing w:after="0" w:before="0" w:line="12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1B3A5C" w:sz="32"/>
              <w:bottom w:val="none" w:color="FFFFFF" w:sz="0"/>
              <w:right w:val="none" w:color="FFFFFF" w:sz="0"/>
            </w:tcBorders>
            <w:shd w:fill="EDF1F6" w:color="auto" w:val="clear"/>
            <w:tcMar>
              <w:top w:type="dxa" w:w="120"/>
              <w:left w:type="dxa" w:w="200"/>
              <w:bottom w:type="dxa" w:w="100"/>
              <w:right w:type="dxa" w:w="160"/>
            </w:tcMar>
          </w:tcPr>
          <w:p>
            <w:pPr>
              <w:spacing w:after="0" w:before="0" w:line="270"/>
            </w:pPr>
            <w:r>
              <w:rPr>
                <w:rFonts w:ascii="Calibri" w:cs="Calibri" w:eastAsia="Calibri" w:hAnsi="Calibri"/>
                <w:sz w:val="21"/>
                <w:szCs w:val="21"/>
              </w:rPr>
              <w:t xml:space="preserve">Daily recording is evidence that care is taking place, but </w:t>
            </w:r>
            <w:r>
              <w:rPr>
                <w:rFonts w:ascii="Calibri" w:cs="Calibri" w:eastAsia="Calibri" w:hAnsi="Calibri"/>
                <w:b/>
                <w:bCs/>
                <w:sz w:val="21"/>
                <w:szCs w:val="21"/>
              </w:rPr>
              <w:t xml:space="preserve">the quality of the record matters.</w:t>
            </w:r>
            <w:r>
              <w:rPr>
                <w:rFonts w:ascii="Calibri" w:cs="Calibri" w:eastAsia="Calibri" w:hAnsi="Calibri"/>
                <w:sz w:val="21"/>
                <w:szCs w:val="21"/>
              </w:rPr>
              <w:t xml:space="preserve"> A record should help the next staff member understand what happened and what needs to happen next.</w:t>
            </w:r>
          </w:p>
        </w:tc>
      </w:tr>
    </w:tbl>
    <w:p>
      <w:pPr>
        <w:spacing w:after="0" w:before="0" w:line="120"/>
      </w:pPr>
      <w:r>
        <w:rPr>
          <w:sz w:val="4"/>
          <w:szCs w:val="4"/>
        </w:rPr>
        <w:t xml:space="preserve"/>
      </w:r>
    </w:p>
    <w:p>
      <w:pPr>
        <w:pStyle w:val="Heading1"/>
        <w:keepNext/>
      </w:pPr>
      <w:bookmarkStart w:name="s7" w:id="7"/>
      <w:r>
        <w:t xml:space="preserve">7  Recognising concerns and escalating</w:t>
      </w:r>
      <w:bookmarkEnd w:id="7"/>
    </w:p>
    <w:p>
      <w:pPr>
        <w:keepNext/>
        <w:spacing w:after="120" w:before="0" w:line="285"/>
      </w:pPr>
      <w:r>
        <w:rPr>
          <w:rFonts w:ascii="Calibri" w:cs="Calibri" w:eastAsia="Calibri" w:hAnsi="Calibri"/>
          <w:sz w:val="22"/>
          <w:szCs w:val="22"/>
        </w:rPr>
        <w:t xml:space="preserve">Staff should report and escalate concerns in line with the care home’s procedures and the person’s care plan.</w:t>
      </w:r>
    </w:p>
    <w:p>
      <w:pPr>
        <w:pStyle w:val="ListParagraph"/>
        <w:numPr>
          <w:ilvl w:val="0"/>
          <w:numId w:val="2"/>
        </w:numPr>
        <w:spacing w:after="70" w:line="276"/>
      </w:pPr>
      <w:r>
        <w:rPr>
          <w:rFonts w:ascii="Calibri" w:cs="Calibri" w:eastAsia="Calibri" w:hAnsi="Calibri"/>
          <w:sz w:val="22"/>
          <w:szCs w:val="22"/>
        </w:rPr>
        <w:t xml:space="preserve">Dental pain or suspected pain.</w:t>
      </w:r>
    </w:p>
    <w:p>
      <w:pPr>
        <w:pStyle w:val="ListParagraph"/>
        <w:numPr>
          <w:ilvl w:val="0"/>
          <w:numId w:val="2"/>
        </w:numPr>
        <w:spacing w:after="70" w:line="276"/>
      </w:pPr>
      <w:r>
        <w:rPr>
          <w:rFonts w:ascii="Calibri" w:cs="Calibri" w:eastAsia="Calibri" w:hAnsi="Calibri"/>
          <w:sz w:val="22"/>
          <w:szCs w:val="22"/>
        </w:rPr>
        <w:t xml:space="preserve">Swelling, bleeding or signs of infection.</w:t>
      </w:r>
    </w:p>
    <w:p>
      <w:pPr>
        <w:pStyle w:val="ListParagraph"/>
        <w:numPr>
          <w:ilvl w:val="0"/>
          <w:numId w:val="2"/>
        </w:numPr>
        <w:spacing w:after="70" w:line="276"/>
      </w:pPr>
      <w:r>
        <w:rPr>
          <w:rFonts w:ascii="Calibri" w:cs="Calibri" w:eastAsia="Calibri" w:hAnsi="Calibri"/>
          <w:sz w:val="22"/>
          <w:szCs w:val="22"/>
        </w:rPr>
        <w:t xml:space="preserve">Broken, loose or painful teeth.</w:t>
      </w:r>
    </w:p>
    <w:p>
      <w:pPr>
        <w:pStyle w:val="ListParagraph"/>
        <w:numPr>
          <w:ilvl w:val="0"/>
          <w:numId w:val="2"/>
        </w:numPr>
        <w:spacing w:after="70" w:line="276"/>
      </w:pPr>
      <w:r>
        <w:rPr>
          <w:rFonts w:ascii="Calibri" w:cs="Calibri" w:eastAsia="Calibri" w:hAnsi="Calibri"/>
          <w:sz w:val="22"/>
          <w:szCs w:val="22"/>
        </w:rPr>
        <w:t xml:space="preserve">Persistent ulcers or sores, red or white patches, lumps or other unexplained changes in the mouth.</w:t>
      </w:r>
    </w:p>
    <w:p>
      <w:pPr>
        <w:pStyle w:val="ListParagraph"/>
        <w:numPr>
          <w:ilvl w:val="0"/>
          <w:numId w:val="2"/>
        </w:numPr>
        <w:spacing w:after="70" w:line="276"/>
      </w:pPr>
      <w:r>
        <w:rPr>
          <w:rFonts w:ascii="Calibri" w:cs="Calibri" w:eastAsia="Calibri" w:hAnsi="Calibri"/>
          <w:sz w:val="22"/>
          <w:szCs w:val="22"/>
        </w:rPr>
        <w:t xml:space="preserve">Problems with chewing or swallowing.</w:t>
      </w:r>
    </w:p>
    <w:p>
      <w:pPr>
        <w:pStyle w:val="ListParagraph"/>
        <w:numPr>
          <w:ilvl w:val="0"/>
          <w:numId w:val="2"/>
        </w:numPr>
        <w:spacing w:after="70" w:line="276"/>
      </w:pPr>
      <w:r>
        <w:rPr>
          <w:rFonts w:ascii="Calibri" w:cs="Calibri" w:eastAsia="Calibri" w:hAnsi="Calibri"/>
          <w:sz w:val="22"/>
          <w:szCs w:val="22"/>
        </w:rPr>
        <w:t xml:space="preserve">Dentures that are painful, loose, broken or no longer fit properly.</w:t>
      </w:r>
    </w:p>
    <w:p>
      <w:pPr>
        <w:pStyle w:val="ListParagraph"/>
        <w:numPr>
          <w:ilvl w:val="0"/>
          <w:numId w:val="2"/>
        </w:numPr>
        <w:spacing w:after="70" w:line="276"/>
      </w:pPr>
      <w:r>
        <w:rPr>
          <w:rFonts w:ascii="Calibri" w:cs="Calibri" w:eastAsia="Calibri" w:hAnsi="Calibri"/>
          <w:sz w:val="22"/>
          <w:szCs w:val="22"/>
        </w:rPr>
        <w:t xml:space="preserve">A significant change in appetite or behaviour that may indicate oral discomfort, particularly where the person cannot communicate pain clearly.</w:t>
      </w:r>
    </w:p>
    <w:p>
      <w:pPr>
        <w:pStyle w:val="ListParagraph"/>
        <w:numPr>
          <w:ilvl w:val="0"/>
          <w:numId w:val="2"/>
        </w:numPr>
        <w:spacing w:after="70" w:line="276"/>
      </w:pPr>
      <w:r>
        <w:rPr>
          <w:rFonts w:ascii="Calibri" w:cs="Calibri" w:eastAsia="Calibri" w:hAnsi="Calibri"/>
          <w:sz w:val="22"/>
          <w:szCs w:val="22"/>
        </w:rPr>
        <w:t xml:space="preserve">A deterioration in oral health or a change in the person’s ability to complete their own mouth care.</w:t>
      </w:r>
    </w:p>
    <w:p>
      <w:pPr>
        <w:pStyle w:val="Heading2"/>
        <w:keepNext/>
      </w:pPr>
      <w:r>
        <w:t xml:space="preserve">Access to dental care</w:t>
      </w:r>
    </w:p>
    <w:p>
      <w:pPr>
        <w:pStyle w:val="ListParagraph"/>
        <w:numPr>
          <w:ilvl w:val="0"/>
          <w:numId w:val="2"/>
        </w:numPr>
        <w:spacing w:after="70" w:line="276"/>
      </w:pPr>
      <w:r>
        <w:rPr>
          <w:rFonts w:ascii="Calibri" w:cs="Calibri" w:eastAsia="Calibri" w:hAnsi="Calibri"/>
          <w:sz w:val="22"/>
          <w:szCs w:val="22"/>
        </w:rPr>
        <w:t xml:space="preserve">Record the resident’s dentist or dental service and how they access appointments.</w:t>
      </w:r>
    </w:p>
    <w:p>
      <w:pPr>
        <w:pStyle w:val="ListParagraph"/>
        <w:numPr>
          <w:ilvl w:val="0"/>
          <w:numId w:val="2"/>
        </w:numPr>
        <w:spacing w:after="70" w:line="276"/>
      </w:pPr>
      <w:r>
        <w:rPr>
          <w:rFonts w:ascii="Calibri" w:cs="Calibri" w:eastAsia="Calibri" w:hAnsi="Calibri"/>
          <w:sz w:val="22"/>
          <w:szCs w:val="22"/>
        </w:rPr>
        <w:t xml:space="preserve">Record routine appointments and the outcome of dental visits.</w:t>
      </w:r>
    </w:p>
    <w:p>
      <w:pPr>
        <w:pStyle w:val="ListParagraph"/>
        <w:numPr>
          <w:ilvl w:val="0"/>
          <w:numId w:val="2"/>
        </w:numPr>
        <w:spacing w:after="70" w:line="276"/>
      </w:pPr>
      <w:r>
        <w:rPr>
          <w:rFonts w:ascii="Calibri" w:cs="Calibri" w:eastAsia="Calibri" w:hAnsi="Calibri"/>
          <w:sz w:val="22"/>
          <w:szCs w:val="22"/>
        </w:rPr>
        <w:t xml:space="preserve">Have a clear process for urgent dental concerns.</w:t>
      </w:r>
    </w:p>
    <w:p>
      <w:pPr>
        <w:pStyle w:val="ListParagraph"/>
        <w:numPr>
          <w:ilvl w:val="0"/>
          <w:numId w:val="2"/>
        </w:numPr>
        <w:spacing w:after="70" w:line="276"/>
      </w:pPr>
      <w:r>
        <w:rPr>
          <w:rFonts w:ascii="Calibri" w:cs="Calibri" w:eastAsia="Calibri" w:hAnsi="Calibri"/>
          <w:sz w:val="22"/>
          <w:szCs w:val="22"/>
        </w:rPr>
        <w:t xml:space="preserve">Where the resident has difficulty accessing a high-street dental practice, consider appropriate domiciliary or community dental services where available and suitable.</w:t>
      </w:r>
    </w:p>
    <w:p>
      <w:pPr>
        <w:pStyle w:val="Heading2"/>
        <w:keepNext/>
      </w:pPr>
      <w:r>
        <w:t xml:space="preserve">Oral health champion</w:t>
      </w:r>
    </w:p>
    <w:p>
      <w:pPr>
        <w:spacing w:after="120" w:before="0" w:line="285"/>
      </w:pPr>
      <w:r>
        <w:rPr>
          <w:rFonts w:ascii="Calibri" w:cs="Calibri" w:eastAsia="Calibri" w:hAnsi="Calibri"/>
          <w:sz w:val="22"/>
          <w:szCs w:val="22"/>
        </w:rPr>
        <w:t xml:space="preserve">Care homes can designate an Oral Health Champion to help promote good oral health, support staff awareness, liaise with dental professionals and help ensure residents have appropriate oral care products and person-centred plans. The role should complement, not replace, the responsibilities of the wider care team.</w:t>
      </w:r>
    </w:p>
    <w:p>
      <w:pPr>
        <w:spacing w:after="0" w:before="0" w:line="120"/>
      </w:pPr>
      <w:r>
        <w:rPr>
          <w:sz w:val="4"/>
          <w:szCs w:val="4"/>
        </w:rPr>
        <w:t xml:space="preserve"/>
      </w:r>
    </w:p>
    <w:p>
      <w:pPr>
        <w:pStyle w:val="Heading1"/>
        <w:keepNext/>
      </w:pPr>
      <w:bookmarkStart w:name="s8" w:id="8"/>
      <w:r>
        <w:t xml:space="preserve">8  Monitoring, review and governance</w:t>
      </w:r>
      <w:bookmarkEnd w:id="8"/>
    </w:p>
    <w:p>
      <w:pPr>
        <w:keepNext/>
        <w:spacing w:after="120" w:before="0" w:line="285"/>
      </w:pPr>
      <w:r>
        <w:rPr>
          <w:rFonts w:ascii="Calibri" w:cs="Calibri" w:eastAsia="Calibri" w:hAnsi="Calibri"/>
          <w:sz w:val="22"/>
          <w:szCs w:val="22"/>
        </w:rPr>
        <w:t xml:space="preserve">Good oral healthcare needs to be visible in the home’s systems, not just in individual care plans.</w:t>
      </w:r>
    </w:p>
    <w:p>
      <w:pPr>
        <w:pStyle w:val="ListParagraph"/>
        <w:numPr>
          <w:ilvl w:val="0"/>
          <w:numId w:val="2"/>
        </w:numPr>
        <w:spacing w:after="70" w:line="276"/>
      </w:pPr>
      <w:r>
        <w:rPr>
          <w:rFonts w:ascii="Calibri" w:cs="Calibri" w:eastAsia="Calibri" w:hAnsi="Calibri"/>
          <w:sz w:val="22"/>
          <w:szCs w:val="22"/>
        </w:rPr>
        <w:t xml:space="preserve">Keep the oral health policy or equivalent arrangements current and accessible to staff.</w:t>
      </w:r>
    </w:p>
    <w:p>
      <w:pPr>
        <w:pStyle w:val="ListParagraph"/>
        <w:numPr>
          <w:ilvl w:val="0"/>
          <w:numId w:val="2"/>
        </w:numPr>
        <w:spacing w:after="70" w:line="276"/>
      </w:pPr>
      <w:r>
        <w:rPr>
          <w:rFonts w:ascii="Calibri" w:cs="Calibri" w:eastAsia="Calibri" w:hAnsi="Calibri"/>
          <w:sz w:val="22"/>
          <w:szCs w:val="22"/>
        </w:rPr>
        <w:t xml:space="preserve">Maintain a record of relevant oral health training and identify refresher-training needs.</w:t>
      </w:r>
    </w:p>
    <w:p>
      <w:pPr>
        <w:pStyle w:val="ListParagraph"/>
        <w:numPr>
          <w:ilvl w:val="0"/>
          <w:numId w:val="2"/>
        </w:numPr>
        <w:spacing w:after="70" w:line="276"/>
      </w:pPr>
      <w:r>
        <w:rPr>
          <w:rFonts w:ascii="Calibri" w:cs="Calibri" w:eastAsia="Calibri" w:hAnsi="Calibri"/>
          <w:sz w:val="22"/>
          <w:szCs w:val="22"/>
        </w:rPr>
        <w:t xml:space="preserve">Audit a sample of oral health assessments and care plans to check they are individual, current and actionable.</w:t>
      </w:r>
    </w:p>
    <w:p>
      <w:pPr>
        <w:pStyle w:val="ListParagraph"/>
        <w:numPr>
          <w:ilvl w:val="0"/>
          <w:numId w:val="2"/>
        </w:numPr>
        <w:spacing w:after="70" w:line="276"/>
      </w:pPr>
      <w:r>
        <w:rPr>
          <w:rFonts w:ascii="Calibri" w:cs="Calibri" w:eastAsia="Calibri" w:hAnsi="Calibri"/>
          <w:sz w:val="22"/>
          <w:szCs w:val="22"/>
        </w:rPr>
        <w:t xml:space="preserve">Check that daily mouth care is being recorded and that refusals or incomplete care are followed up appropriately.</w:t>
      </w:r>
    </w:p>
    <w:p>
      <w:pPr>
        <w:pStyle w:val="ListParagraph"/>
        <w:numPr>
          <w:ilvl w:val="0"/>
          <w:numId w:val="2"/>
        </w:numPr>
        <w:spacing w:after="70" w:line="276"/>
      </w:pPr>
      <w:r>
        <w:rPr>
          <w:rFonts w:ascii="Calibri" w:cs="Calibri" w:eastAsia="Calibri" w:hAnsi="Calibri"/>
          <w:sz w:val="22"/>
          <w:szCs w:val="22"/>
        </w:rPr>
        <w:t xml:space="preserve">Review whether residents can access appropriate dental care.</w:t>
      </w:r>
    </w:p>
    <w:p>
      <w:pPr>
        <w:pStyle w:val="ListParagraph"/>
        <w:numPr>
          <w:ilvl w:val="0"/>
          <w:numId w:val="2"/>
        </w:numPr>
        <w:spacing w:after="70" w:line="276"/>
      </w:pPr>
      <w:r>
        <w:rPr>
          <w:rFonts w:ascii="Calibri" w:cs="Calibri" w:eastAsia="Calibri" w:hAnsi="Calibri"/>
          <w:sz w:val="22"/>
          <w:szCs w:val="22"/>
        </w:rPr>
        <w:t xml:space="preserve">Use incidents, complaints, dental referrals and audit findings to identify improvements.</w:t>
      </w:r>
    </w:p>
    <w:p>
      <w:pPr>
        <w:pStyle w:val="ListParagraph"/>
        <w:numPr>
          <w:ilvl w:val="0"/>
          <w:numId w:val="2"/>
        </w:numPr>
        <w:spacing w:after="70" w:line="276"/>
      </w:pPr>
      <w:r>
        <w:rPr>
          <w:rFonts w:ascii="Calibri" w:cs="Calibri" w:eastAsia="Calibri" w:hAnsi="Calibri"/>
          <w:sz w:val="22"/>
          <w:szCs w:val="22"/>
        </w:rPr>
        <w:t xml:space="preserve">Review individual oral healthcare plans when needs, preferences or circumstances change, not only at a scheduled review.</w:t>
      </w:r>
    </w:p>
    <w:p>
      <w:pPr>
        <w:spacing w:after="0" w:before="0" w:line="8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1B3A5C" w:sz="32"/>
              <w:bottom w:val="none" w:color="FFFFFF" w:sz="0"/>
              <w:right w:val="none" w:color="FFFFFF" w:sz="0"/>
            </w:tcBorders>
            <w:shd w:fill="EDF1F6" w:color="auto" w:val="clear"/>
            <w:tcMar>
              <w:top w:type="dxa" w:w="120"/>
              <w:left w:type="dxa" w:w="200"/>
              <w:bottom w:type="dxa" w:w="100"/>
              <w:right w:type="dxa" w:w="160"/>
            </w:tcMar>
          </w:tcPr>
          <w:p>
            <w:pPr>
              <w:keepNext/>
              <w:spacing w:after="60"/>
            </w:pPr>
            <w:r>
              <w:rPr>
                <w:rFonts w:ascii="Calibri" w:cs="Calibri" w:eastAsia="Calibri" w:hAnsi="Calibri"/>
                <w:b/>
                <w:bCs/>
                <w:color w:val="1B3A5C"/>
                <w:sz w:val="22"/>
                <w:szCs w:val="22"/>
              </w:rPr>
              <w:t xml:space="preserve">A useful audit question</w:t>
            </w:r>
          </w:p>
          <w:p>
            <w:pPr>
              <w:spacing w:after="0" w:before="0" w:line="270"/>
            </w:pPr>
            <w:r>
              <w:rPr>
                <w:rFonts w:ascii="Calibri" w:cs="Calibri" w:eastAsia="Calibri" w:hAnsi="Calibri"/>
                <w:i/>
                <w:iCs/>
                <w:sz w:val="21"/>
                <w:szCs w:val="21"/>
              </w:rPr>
              <w:t xml:space="preserve">“If a staff member who does not know this resident well read the oral healthcare plan, would they understand exactly how this person wants their mouth care provided, what they can do themselves, what support they need, and what to do if something changes?”</w:t>
            </w:r>
          </w:p>
        </w:tc>
      </w:tr>
    </w:tbl>
    <w:p>
      <w:pPr>
        <w:spacing w:after="0" w:before="0" w:line="120"/>
      </w:pPr>
      <w:r>
        <w:rPr>
          <w:sz w:val="4"/>
          <w:szCs w:val="4"/>
        </w:rPr>
        <w:t xml:space="preserve"/>
      </w:r>
    </w:p>
    <w:p>
      <w:pPr>
        <w:pStyle w:val="Heading1"/>
        <w:keepNext/>
      </w:pPr>
      <w:bookmarkStart w:name="s9" w:id="9"/>
      <w:r>
        <w:t xml:space="preserve">9  Care home oral healthcare checklist</w:t>
      </w:r>
      <w:bookmarkEnd w:id="9"/>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
        <w:gridCol w:w="2300"/>
        <w:gridCol w:w="6718"/>
      </w:tblGrid>
      <w:tr>
        <w:trPr>
          <w:cantSplit/>
          <w:tblHeader/>
        </w:trPr>
        <w:tc>
          <w:tcPr>
            <w:tcW w:type="dxa" w:w="62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spacing w:after="40" w:before="0" w:line="252"/>
            </w:pPr>
          </w:p>
        </w:tc>
        <w:tc>
          <w:tcPr>
            <w:tcW w:type="dxa" w:w="23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val="false"/>
              <w:spacing w:after="40" w:before="0" w:line="252"/>
            </w:pPr>
            <w:r>
              <w:rPr>
                <w:rFonts w:ascii="Calibri" w:cs="Calibri" w:eastAsia="Calibri" w:hAnsi="Calibri"/>
                <w:b/>
                <w:bCs/>
                <w:color w:val="FFFFFF"/>
                <w:sz w:val="20"/>
                <w:szCs w:val="20"/>
              </w:rPr>
              <w:t xml:space="preserve">Area</w:t>
            </w:r>
          </w:p>
        </w:tc>
        <w:tc>
          <w:tcPr>
            <w:tcW w:type="dxa" w:w="6718"/>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val="false"/>
              <w:spacing w:after="40" w:before="0" w:line="252"/>
            </w:pPr>
            <w:r>
              <w:rPr>
                <w:rFonts w:ascii="Calibri" w:cs="Calibri" w:eastAsia="Calibri" w:hAnsi="Calibri"/>
                <w:b/>
                <w:bCs/>
                <w:color w:val="FFFFFF"/>
                <w:sz w:val="20"/>
                <w:szCs w:val="20"/>
              </w:rPr>
              <w:t xml:space="preserve">Check</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Policy</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 we have clear arrangements for promoting and protecting residents’ oral health and accessing dental services?</w:t>
            </w:r>
          </w:p>
        </w:tc>
      </w:tr>
      <w:tr>
        <w:trPr>
          <w:cantSplit/>
        </w:trPr>
        <w:tc>
          <w:tcPr>
            <w:tcW w:type="dxa" w:w="62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Assessment</w:t>
            </w:r>
          </w:p>
        </w:tc>
        <w:tc>
          <w:tcPr>
            <w:tcW w:type="dxa" w:w="671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Has every resident had an oral health assessment when they enter the home, with reassessment when needs change?</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Person-centred plan</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Does each resident have a plan that describes their individual preferences, abilities, needs and support?</w:t>
            </w:r>
          </w:p>
        </w:tc>
      </w:tr>
      <w:tr>
        <w:trPr>
          <w:cantSplit/>
        </w:trPr>
        <w:tc>
          <w:tcPr>
            <w:tcW w:type="dxa" w:w="62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Daily care</w:t>
            </w:r>
          </w:p>
        </w:tc>
        <w:tc>
          <w:tcPr>
            <w:tcW w:type="dxa" w:w="671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Is appropriate mouth care provided every day and recorded?</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Products</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Does each person have the toothbrush, toothpaste, denture products and other equipment they need?</w:t>
            </w:r>
          </w:p>
        </w:tc>
      </w:tr>
      <w:tr>
        <w:trPr>
          <w:cantSplit/>
        </w:trPr>
        <w:tc>
          <w:tcPr>
            <w:tcW w:type="dxa" w:w="62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Independence</w:t>
            </w:r>
          </w:p>
        </w:tc>
        <w:tc>
          <w:tcPr>
            <w:tcW w:type="dxa" w:w="671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Does the plan clearly state what the person can do themselves and how staff should support, not unnecessarily replace, them?</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Communication</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Does the plan explain how the person prefers to be approached and what helps if mouth care is difficult?</w:t>
            </w:r>
          </w:p>
        </w:tc>
      </w:tr>
      <w:tr>
        <w:trPr>
          <w:cantSplit/>
        </w:trPr>
        <w:tc>
          <w:tcPr>
            <w:tcW w:type="dxa" w:w="62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Refusal</w:t>
            </w:r>
          </w:p>
        </w:tc>
        <w:tc>
          <w:tcPr>
            <w:tcW w:type="dxa" w:w="671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Is there a clear, person-centred approach to refusal or distress, with recording and review?</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Dental access</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Is there a clear route to routine and urgent dental care?</w:t>
            </w:r>
          </w:p>
        </w:tc>
      </w:tr>
      <w:tr>
        <w:trPr>
          <w:cantSplit/>
        </w:trPr>
        <w:tc>
          <w:tcPr>
            <w:tcW w:type="dxa" w:w="62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Escalation</w:t>
            </w:r>
          </w:p>
        </w:tc>
        <w:tc>
          <w:tcPr>
            <w:tcW w:type="dxa" w:w="671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Do staff know what oral health concerns to report and who to contact?</w:t>
            </w:r>
          </w:p>
        </w:tc>
      </w:tr>
      <w:tr>
        <w:trPr>
          <w:cantSplit/>
        </w:trPr>
        <w:tc>
          <w:tcPr>
            <w:tcW w:type="dxa" w:w="62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jc w:val="center"/>
            </w:pPr>
            <w:r>
              <w:rPr>
                <w:rFonts w:ascii="Calibri" w:cs="Calibri" w:eastAsia="Calibri" w:hAnsi="Calibri"/>
                <w:sz w:val="20"/>
                <w:szCs w:val="20"/>
              </w:rPr>
              <w:t xml:space="preserve">☐</w:t>
            </w:r>
          </w:p>
        </w:tc>
        <w:tc>
          <w:tcPr>
            <w:tcW w:type="dxa" w:w="2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Review</w:t>
            </w:r>
          </w:p>
        </w:tc>
        <w:tc>
          <w:tcPr>
            <w:tcW w:type="dxa" w:w="671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Are oral healthcare plans reviewed when the person’s needs, preferences or oral health change?</w:t>
            </w:r>
          </w:p>
        </w:tc>
      </w:tr>
    </w:tbl>
    <w:p>
      <w:pPr>
        <w:spacing w:after="0" w:before="0" w:line="12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22808A" w:sz="32"/>
              <w:bottom w:val="none" w:color="FFFFFF" w:sz="0"/>
              <w:right w:val="none" w:color="FFFFFF" w:sz="0"/>
            </w:tcBorders>
            <w:shd w:fill="E8F3F5" w:color="auto" w:val="clear"/>
            <w:tcMar>
              <w:top w:type="dxa" w:w="120"/>
              <w:left w:type="dxa" w:w="200"/>
              <w:bottom w:type="dxa" w:w="100"/>
              <w:right w:type="dxa" w:w="160"/>
            </w:tcMar>
          </w:tcPr>
          <w:p>
            <w:pPr>
              <w:keepNext/>
              <w:spacing w:after="60"/>
            </w:pPr>
            <w:r>
              <w:rPr>
                <w:rFonts w:ascii="Calibri" w:cs="Calibri" w:eastAsia="Calibri" w:hAnsi="Calibri"/>
                <w:b/>
                <w:bCs/>
                <w:color w:val="22808A"/>
                <w:sz w:val="22"/>
                <w:szCs w:val="22"/>
              </w:rPr>
              <w:t xml:space="preserve">Key message</w:t>
            </w:r>
          </w:p>
          <w:p>
            <w:pPr>
              <w:spacing w:after="0" w:before="0" w:line="270"/>
            </w:pPr>
            <w:r>
              <w:rPr>
                <w:rFonts w:ascii="Calibri" w:cs="Calibri" w:eastAsia="Calibri" w:hAnsi="Calibri"/>
                <w:sz w:val="21"/>
                <w:szCs w:val="21"/>
              </w:rPr>
              <w:t xml:space="preserve">Oral healthcare should be visible, individual and actionable. The care plan should tell the story of the person’s mouth care, not simply record that a task needs to be done.</w:t>
            </w:r>
          </w:p>
        </w:tc>
      </w:tr>
    </w:tbl>
    <w:p>
      <w:pPr>
        <w:spacing w:after="0" w:before="0" w:line="120"/>
      </w:pPr>
      <w:r>
        <w:rPr>
          <w:sz w:val="4"/>
          <w:szCs w:val="4"/>
        </w:rPr>
        <w:t xml:space="preserve"/>
      </w:r>
    </w:p>
    <w:p>
      <w:pPr>
        <w:pStyle w:val="Heading1"/>
        <w:keepNext/>
      </w:pPr>
      <w:bookmarkStart w:name="s10" w:id="10"/>
      <w:r>
        <w:t xml:space="preserve">Sources and evidence base</w:t>
      </w:r>
      <w:bookmarkEnd w:id="10"/>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338"/>
      </w:tblGrid>
      <w:tr>
        <w:trPr>
          <w:cantSplit/>
          <w:tblHeader/>
        </w:trPr>
        <w:tc>
          <w:tcPr>
            <w:tcW w:type="dxa" w:w="3300"/>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Source</w:t>
            </w:r>
          </w:p>
        </w:tc>
        <w:tc>
          <w:tcPr>
            <w:tcW w:type="dxa" w:w="6338"/>
            <w:tcBorders>
              <w:top w:val="single" w:color="1B3A5C" w:sz="4"/>
              <w:left w:val="single" w:color="1B3A5C" w:sz="4"/>
              <w:bottom w:val="single" w:color="1B3A5C" w:sz="4"/>
              <w:right w:val="single" w:color="1B3A5C" w:sz="4"/>
            </w:tcBorders>
            <w:shd w:fill="1B3A5C" w:color="auto" w:val="clear"/>
            <w:tcMar>
              <w:top w:type="dxa" w:w="70"/>
              <w:left w:type="dxa" w:w="110"/>
              <w:bottom w:type="dxa" w:w="50"/>
              <w:right w:type="dxa" w:w="110"/>
            </w:tcMar>
            <w:vAlign w:val="center"/>
          </w:tcPr>
          <w:p>
            <w:pPr>
              <w:keepNext/>
              <w:spacing w:after="40" w:before="0" w:line="252"/>
            </w:pPr>
            <w:r>
              <w:rPr>
                <w:rFonts w:ascii="Calibri" w:cs="Calibri" w:eastAsia="Calibri" w:hAnsi="Calibri"/>
                <w:b/>
                <w:bCs/>
                <w:color w:val="FFFFFF"/>
                <w:sz w:val="20"/>
                <w:szCs w:val="20"/>
              </w:rPr>
              <w:t xml:space="preserve">Summary</w:t>
            </w:r>
          </w:p>
        </w:tc>
      </w:tr>
      <w:tr>
        <w:trPr>
          <w:cantSplit/>
        </w:trPr>
        <w:tc>
          <w:tcPr>
            <w:tcW w:type="dxa" w:w="3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bCs/>
                <w:sz w:val="20"/>
                <w:szCs w:val="20"/>
              </w:rPr>
              <w:t xml:space="preserve">Care Quality Commission:</w:t>
            </w:r>
            <w:r>
              <w:rPr>
                <w:rFonts w:ascii="Calibri" w:cs="Calibri" w:eastAsia="Calibri" w:hAnsi="Calibri"/>
                <w:b w:val="false"/>
                <w:bCs w:val="false"/>
                <w:sz w:val="20"/>
                <w:szCs w:val="20"/>
              </w:rPr>
              <w:t xml:space="preserve"> Regulation 9, Person-centred care</w:t>
            </w:r>
          </w:p>
          <w:p>
            <w:pPr>
              <w:keepNext/>
              <w:spacing w:after="40" w:before="0" w:line="252"/>
            </w:pPr>
            <w:hyperlink w:history="1" r:id="rIdajniq91-gfzimjjucjx7f">
              <w:r>
                <w:rPr>
                  <w:rFonts w:ascii="Calibri" w:cs="Calibri" w:eastAsia="Calibri" w:hAnsi="Calibri"/>
                  <w:b w:val="false"/>
                  <w:bCs w:val="false"/>
                  <w:color w:val="1D5FA8"/>
                  <w:sz w:val="20"/>
                  <w:szCs w:val="20"/>
                  <w:u w:val="single"/>
                </w:rPr>
                <w:t xml:space="preserve">View on cqc.org.uk</w:t>
              </w:r>
            </w:hyperlink>
          </w:p>
        </w:tc>
        <w:tc>
          <w:tcPr>
            <w:tcW w:type="dxa" w:w="63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CQC states that care and treatment must be appropriate, meet people’s needs and reflect their preferences. Providers should involve people in assessment, planning, management and review and maintain clear care plans with agreed goals and review dates.</w:t>
            </w:r>
          </w:p>
        </w:tc>
      </w:tr>
      <w:tr>
        <w:trPr>
          <w:cantSplit/>
        </w:trPr>
        <w:tc>
          <w:tcPr>
            <w:tcW w:type="dxa" w:w="3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spacing w:after="40" w:before="0" w:line="252"/>
            </w:pPr>
            <w:r>
              <w:rPr>
                <w:rFonts w:ascii="Calibri" w:cs="Calibri" w:eastAsia="Calibri" w:hAnsi="Calibri"/>
                <w:b/>
                <w:bCs/>
                <w:sz w:val="20"/>
                <w:szCs w:val="20"/>
              </w:rPr>
              <w:t xml:space="preserve">NICE:</w:t>
            </w:r>
            <w:r>
              <w:rPr>
                <w:rFonts w:ascii="Calibri" w:cs="Calibri" w:eastAsia="Calibri" w:hAnsi="Calibri"/>
                <w:b w:val="false"/>
                <w:bCs w:val="false"/>
                <w:sz w:val="20"/>
                <w:szCs w:val="20"/>
              </w:rPr>
              <w:t xml:space="preserve"> Oral health for adults in care homes (NG48)</w:t>
            </w:r>
          </w:p>
          <w:p>
            <w:pPr>
              <w:keepNext/>
              <w:spacing w:after="40" w:before="0" w:line="252"/>
            </w:pPr>
            <w:hyperlink w:history="1" r:id="rId0n-h-abseckxegrq7rqa6">
              <w:r>
                <w:rPr>
                  <w:rFonts w:ascii="Calibri" w:cs="Calibri" w:eastAsia="Calibri" w:hAnsi="Calibri"/>
                  <w:b w:val="false"/>
                  <w:bCs w:val="false"/>
                  <w:color w:val="1D5FA8"/>
                  <w:sz w:val="20"/>
                  <w:szCs w:val="20"/>
                  <w:u w:val="single"/>
                </w:rPr>
                <w:t xml:space="preserve">View on nice.org.uk</w:t>
              </w:r>
            </w:hyperlink>
          </w:p>
        </w:tc>
        <w:tc>
          <w:tcPr>
            <w:tcW w:type="dxa" w:w="633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The source document identifies NG48 as the evidence-based basis for oral health planning in care homes.</w:t>
            </w:r>
          </w:p>
        </w:tc>
      </w:tr>
      <w:tr>
        <w:trPr>
          <w:cantSplit/>
        </w:trPr>
        <w:tc>
          <w:tcPr>
            <w:tcW w:type="dxa" w:w="3300"/>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bCs/>
                <w:sz w:val="20"/>
                <w:szCs w:val="20"/>
              </w:rPr>
              <w:t xml:space="preserve">NICE:</w:t>
            </w:r>
            <w:r>
              <w:rPr>
                <w:rFonts w:ascii="Calibri" w:cs="Calibri" w:eastAsia="Calibri" w:hAnsi="Calibri"/>
                <w:b w:val="false"/>
                <w:bCs w:val="false"/>
                <w:sz w:val="20"/>
                <w:szCs w:val="20"/>
              </w:rPr>
              <w:t xml:space="preserve"> Oral health in care homes (QS151)</w:t>
            </w:r>
          </w:p>
          <w:p>
            <w:pPr>
              <w:keepNext/>
              <w:spacing w:after="40" w:before="0" w:line="252"/>
            </w:pPr>
            <w:hyperlink w:history="1" r:id="rIdg3cj5j50kk44ssz9izbyl">
              <w:r>
                <w:rPr>
                  <w:rFonts w:ascii="Calibri" w:cs="Calibri" w:eastAsia="Calibri" w:hAnsi="Calibri"/>
                  <w:b w:val="false"/>
                  <w:bCs w:val="false"/>
                  <w:color w:val="1D5FA8"/>
                  <w:sz w:val="20"/>
                  <w:szCs w:val="20"/>
                  <w:u w:val="single"/>
                </w:rPr>
                <w:t xml:space="preserve">View on nice.org.uk</w:t>
              </w:r>
            </w:hyperlink>
          </w:p>
        </w:tc>
        <w:tc>
          <w:tcPr>
            <w:tcW w:type="dxa" w:w="6338"/>
            <w:tcBorders>
              <w:top w:val="single" w:color="C5D3DC" w:sz="4"/>
              <w:left w:val="single" w:color="C5D3DC" w:sz="4"/>
              <w:bottom w:val="single" w:color="C5D3DC" w:sz="4"/>
              <w:right w:val="single" w:color="C5D3DC" w:sz="4"/>
            </w:tcBorders>
            <w:tcMar>
              <w:top w:type="dxa" w:w="70"/>
              <w:left w:type="dxa" w:w="110"/>
              <w:bottom w:type="dxa" w:w="50"/>
              <w:right w:type="dxa" w:w="110"/>
            </w:tcMar>
            <w:vAlign w:val="top"/>
          </w:tcPr>
          <w:p>
            <w:pPr>
              <w:keepNext/>
              <w:spacing w:after="40" w:before="0" w:line="252"/>
            </w:pPr>
            <w:r>
              <w:rPr>
                <w:rFonts w:ascii="Calibri" w:cs="Calibri" w:eastAsia="Calibri" w:hAnsi="Calibri"/>
                <w:b w:val="false"/>
                <w:bCs w:val="false"/>
                <w:sz w:val="20"/>
                <w:szCs w:val="20"/>
              </w:rPr>
              <w:t xml:space="preserve">Quality statement 3 says that residents’ mouth care needs should be recorded in their personal care plans and that plans should be regularly reviewed and updated when needs change.</w:t>
            </w:r>
          </w:p>
        </w:tc>
      </w:tr>
      <w:tr>
        <w:trPr>
          <w:cantSplit/>
        </w:trPr>
        <w:tc>
          <w:tcPr>
            <w:tcW w:type="dxa" w:w="3300"/>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bCs/>
                <w:sz w:val="20"/>
                <w:szCs w:val="20"/>
              </w:rPr>
              <w:t xml:space="preserve">CQC:</w:t>
            </w:r>
            <w:r>
              <w:rPr>
                <w:rFonts w:ascii="Calibri" w:cs="Calibri" w:eastAsia="Calibri" w:hAnsi="Calibri"/>
                <w:b w:val="false"/>
                <w:bCs w:val="false"/>
                <w:sz w:val="20"/>
                <w:szCs w:val="20"/>
              </w:rPr>
              <w:t xml:space="preserve"> Smiling matters: oral health care in care homes</w:t>
            </w:r>
          </w:p>
          <w:p>
            <w:pPr>
              <w:keepNext w:val="false"/>
              <w:spacing w:after="40" w:before="0" w:line="252"/>
            </w:pPr>
            <w:hyperlink w:history="1" r:id="rIdgikaglhzeeak7w3wxac0x">
              <w:r>
                <w:rPr>
                  <w:rFonts w:ascii="Calibri" w:cs="Calibri" w:eastAsia="Calibri" w:hAnsi="Calibri"/>
                  <w:b w:val="false"/>
                  <w:bCs w:val="false"/>
                  <w:color w:val="1D5FA8"/>
                  <w:sz w:val="20"/>
                  <w:szCs w:val="20"/>
                  <w:u w:val="single"/>
                </w:rPr>
                <w:t xml:space="preserve">View on cqc.org.uk</w:t>
              </w:r>
            </w:hyperlink>
          </w:p>
        </w:tc>
        <w:tc>
          <w:tcPr>
            <w:tcW w:type="dxa" w:w="6338"/>
            <w:tcBorders>
              <w:top w:val="single" w:color="C5D3DC" w:sz="4"/>
              <w:left w:val="single" w:color="C5D3DC" w:sz="4"/>
              <w:bottom w:val="single" w:color="C5D3DC" w:sz="4"/>
              <w:right w:val="single" w:color="C5D3DC" w:sz="4"/>
            </w:tcBorders>
            <w:shd w:fill="F7FAFB" w:color="auto" w:val="clear"/>
            <w:tcMar>
              <w:top w:type="dxa" w:w="70"/>
              <w:left w:type="dxa" w:w="110"/>
              <w:bottom w:type="dxa" w:w="50"/>
              <w:right w:type="dxa" w:w="110"/>
            </w:tcMar>
            <w:vAlign w:val="top"/>
          </w:tcPr>
          <w:p>
            <w:pPr>
              <w:keepNext w:val="false"/>
              <w:spacing w:after="40" w:before="0" w:line="252"/>
            </w:pPr>
            <w:r>
              <w:rPr>
                <w:rFonts w:ascii="Calibri" w:cs="Calibri" w:eastAsia="Calibri" w:hAnsi="Calibri"/>
                <w:b w:val="false"/>
                <w:bCs w:val="false"/>
                <w:sz w:val="20"/>
                <w:szCs w:val="20"/>
              </w:rPr>
              <w:t xml:space="preserve">CQC’s review found that many care plans did not adequately cover oral health and recommended comprehensive, person-centred oral health care plans informed by assessment and regularly reviewed.</w:t>
            </w:r>
          </w:p>
        </w:tc>
      </w:tr>
    </w:tbl>
    <w:p>
      <w:pPr>
        <w:spacing w:after="0" w:before="0" w:line="140"/>
      </w:pPr>
      <w:r>
        <w:rPr>
          <w:sz w:val="4"/>
          <w:szCs w:val="4"/>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single" w:color="B26A00" w:sz="32"/>
              <w:bottom w:val="none" w:color="FFFFFF" w:sz="0"/>
              <w:right w:val="none" w:color="FFFFFF" w:sz="0"/>
            </w:tcBorders>
            <w:shd w:fill="FFF3D9" w:color="auto" w:val="clear"/>
            <w:tcMar>
              <w:top w:type="dxa" w:w="120"/>
              <w:left w:type="dxa" w:w="200"/>
              <w:bottom w:type="dxa" w:w="100"/>
              <w:right w:type="dxa" w:w="160"/>
            </w:tcMar>
          </w:tcPr>
          <w:p>
            <w:pPr>
              <w:spacing w:after="0" w:before="0" w:line="270"/>
            </w:pPr>
            <w:r>
              <w:rPr>
                <w:rFonts w:ascii="Calibri" w:cs="Calibri" w:eastAsia="Calibri" w:hAnsi="Calibri"/>
                <w:b/>
                <w:bCs/>
                <w:sz w:val="21"/>
                <w:szCs w:val="21"/>
              </w:rPr>
              <w:t xml:space="preserve">Important:</w:t>
            </w:r>
            <w:r>
              <w:rPr>
                <w:rFonts w:ascii="Calibri" w:cs="Calibri" w:eastAsia="Calibri" w:hAnsi="Calibri"/>
                <w:sz w:val="21"/>
                <w:szCs w:val="21"/>
              </w:rPr>
              <w:t xml:space="preserve"> This is an educational planning resource and should be used alongside the care home’s policies, local arrangements, current NICE guidance, CQC requirements and professional dental advice. It does not replace individual clinical assessment or dental treatment.</w:t>
            </w:r>
          </w:p>
        </w:tc>
      </w:tr>
    </w:tbl>
    <w:p>
      <w:pPr>
        <w:spacing w:after="0" w:before="0" w:line="140"/>
      </w:pPr>
      <w:r>
        <w:rPr>
          <w:sz w:val="4"/>
          <w:szCs w:val="4"/>
        </w:rPr>
        <w:t xml:space="preserve"/>
      </w:r>
    </w:p>
    <w:p>
      <w:pPr>
        <w:spacing w:after="120" w:before="0" w:line="285"/>
        <w:jc w:val="center"/>
      </w:pPr>
      <w:r>
        <w:rPr>
          <w:rFonts w:ascii="Calibri" w:cs="Calibri" w:eastAsia="Calibri" w:hAnsi="Calibri"/>
          <w:b/>
          <w:bCs/>
          <w:color w:val="5B6770"/>
          <w:sz w:val="20"/>
          <w:szCs w:val="20"/>
        </w:rPr>
        <w:t xml:space="preserve">Knowledge Oral Healthcare</w:t>
      </w:r>
      <w:r>
        <w:rPr>
          <w:rFonts w:ascii="Calibri" w:cs="Calibri" w:eastAsia="Calibri" w:hAnsi="Calibri"/>
          <w:color w:val="5B6770"/>
          <w:sz w:val="20"/>
          <w:szCs w:val="20"/>
        </w:rPr>
        <w:t xml:space="preserve">  |  </w:t>
      </w:r>
      <w:hyperlink w:history="1" r:id="rId-lr4thxrtq9rmw10ffvmc">
        <w:r>
          <w:rPr>
            <w:rFonts w:ascii="Calibri" w:cs="Calibri" w:eastAsia="Calibri" w:hAnsi="Calibri"/>
            <w:color w:val="1D5FA8"/>
            <w:sz w:val="20"/>
            <w:szCs w:val="20"/>
            <w:u w:val="single"/>
          </w:rPr>
          <w:t xml:space="preserve">www.kohc.co.uk</w:t>
        </w:r>
      </w:hyperlink>
      <w:r>
        <w:rPr>
          <w:rFonts w:ascii="Calibri" w:cs="Calibri" w:eastAsia="Calibri" w:hAnsi="Calibri"/>
          <w:color w:val="5B6770"/>
          <w:sz w:val="20"/>
          <w:szCs w:val="20"/>
        </w:rPr>
        <w:t xml:space="preserve">  |  </w:t>
      </w:r>
      <w:hyperlink w:history="1" r:id="rIdkawc--gtj5t0x3_-2ne4h">
        <w:r>
          <w:rPr>
            <w:rFonts w:ascii="Calibri" w:cs="Calibri" w:eastAsia="Calibri" w:hAnsi="Calibri"/>
            <w:color w:val="1D5FA8"/>
            <w:sz w:val="20"/>
            <w:szCs w:val="20"/>
            <w:u w:val="single"/>
          </w:rPr>
          <w:t xml:space="preserve">info@kohc.co.uk</w:t>
        </w:r>
      </w:hyperlink>
    </w:p>
    <w:sectPr>
      <w:headerReference w:type="default" r:id="rId11"/>
      <w:footerReference w:type="default" r:id="rId12"/>
      <w:pgSz w:w="11906" w:h="16838" w:orient="portrait"/>
      <w:pgMar w:top="1300" w:right="1134" w:bottom="1134" w:left="1134" w:header="6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3DC" w:sz="4" w:space="6"/>
      </w:pBdr>
      <w:spacing w:after="0" w:before="0"/>
    </w:pPr>
    <w:r>
      <w:rPr>
        <w:rFonts w:ascii="Calibri" w:cs="Calibri" w:eastAsia="Calibri" w:hAnsi="Calibri"/>
        <w:color w:val="5B6770"/>
        <w:sz w:val="17"/>
        <w:szCs w:val="17"/>
      </w:rPr>
      <w:t xml:space="preserve">Knowledge Oral Healthcare</w:t>
      <w:ptab w:alignment="right" w:relativeTo="margin" w:leader="none"/>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3DC" w:sz="4" w:space="6"/>
      </w:pBdr>
      <w:spacing w:after="0" w:before="0"/>
    </w:pPr>
    <w:r>
      <w:rPr>
        <w:rFonts w:ascii="Calibri" w:cs="Calibri" w:eastAsia="Calibri" w:hAnsi="Calibri"/>
        <w:color w:val="5B6770"/>
        <w:sz w:val="17"/>
        <w:szCs w:val="17"/>
      </w:rPr>
      <w:t xml:space="preserve">Knowledge Oral Healthcare</w:t>
      <w:ptab w:alignment="right" w:relativeTo="margin" w:leader="none"/>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2808A" w:sz="6" w:space="4"/>
      </w:pBdr>
      <w:spacing w:after="0"/>
    </w:pPr>
    <w:r>
      <w:rPr>
        <w:rFonts w:ascii="Calibri" w:cs="Calibri" w:eastAsia="Calibri" w:hAnsi="Calibri"/>
        <w:b/>
        <w:bCs/>
        <w:color w:val="5B6770"/>
        <w:spacing w:val="40"/>
        <w:sz w:val="17"/>
        <w:szCs w:val="17"/>
      </w:rPr>
      <w:t xml:space="preserve">PLANNING ORAL HEALTHCARE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2808A" w:sz="6" w:space="4"/>
      </w:pBdr>
      <w:spacing w:after="0"/>
    </w:pPr>
    <w:r>
      <w:rPr>
        <w:rFonts w:ascii="Calibri" w:cs="Calibri" w:eastAsia="Calibri" w:hAnsi="Calibri"/>
        <w:b/>
        <w:bCs/>
        <w:color w:val="5B6770"/>
        <w:spacing w:val="40"/>
        <w:sz w:val="17"/>
        <w:szCs w:val="17"/>
      </w:rPr>
      <w:t xml:space="preserve">PLANNING ORAL HEALTHCARE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rPr>
        <w:b/>
        <w:bCs/>
        <w:color w:val="22808A"/>
      </w:rPr>
    </w:lvl>
    <w:lvl w:ilvl="1" w15:tentative="1">
      <w:start w:val="1"/>
      <w:numFmt w:val="bullet"/>
      <w:lvlText w:val="–"/>
      <w:lvlJc w:val="left"/>
      <w:pPr>
        <w:ind w:left="1000" w:hanging="280"/>
      </w:pPr>
      <w:rPr>
        <w:color w:val="22808A"/>
      </w:rPr>
    </w:lvl>
  </w:abstractNum>
  <w:abstractNum w:abstractNumId="3" w15:restartNumberingAfterBreak="0">
    <w:multiLevelType w:val="hybridMultilevel"/>
    <w:lvl w:ilvl="0" w15:tentative="1">
      <w:start w:val="1"/>
      <w:numFmt w:val="bullet"/>
      <w:lvlText w:val="•"/>
      <w:lvlJc w:val="left"/>
      <w:pPr>
        <w:ind w:left="300" w:hanging="280"/>
      </w:pPr>
      <w:rPr>
        <w:b/>
        <w:bCs/>
        <w:color w:val="22808A"/>
      </w:rPr>
    </w:lvl>
    <w:lvl w:ilvl="1" w15:tentative="1">
      <w:start w:val="1"/>
      <w:numFmt w:val="bullet"/>
      <w:lvlText w:val="–"/>
      <w:lvlJc w:val="left"/>
      <w:pPr>
        <w:ind w:left="640" w:hanging="280"/>
      </w:pPr>
      <w:rPr>
        <w:color w:val="22808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303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22808A" w:sz="10" w:space="4"/>
      </w:pBdr>
      <w:spacing w:after="160" w:before="200"/>
      <w:outlineLvl w:val="0"/>
    </w:pPr>
    <w:rPr>
      <w:rFonts w:ascii="Calibri" w:cs="Calibri" w:eastAsia="Calibri" w:hAnsi="Calibri"/>
      <w:b/>
      <w:bCs/>
      <w:color w:val="1B3A5C"/>
      <w:sz w:val="34"/>
      <w:szCs w:val="34"/>
    </w:rPr>
  </w:style>
  <w:style w:type="paragraph" w:styleId="Heading2">
    <w:name w:val="Heading 2"/>
    <w:basedOn w:val="Normal"/>
    <w:next w:val="Normal"/>
    <w:qFormat/>
    <w:pPr>
      <w:keepNext/>
      <w:spacing w:after="90" w:before="220"/>
      <w:outlineLvl w:val="1"/>
    </w:pPr>
    <w:rPr>
      <w:rFonts w:ascii="Calibri" w:cs="Calibri" w:eastAsia="Calibri" w:hAnsi="Calibri"/>
      <w:b/>
      <w:bCs/>
      <w:color w:val="22808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qa6vqjxjq-ji_2qskflbm" Type="http://schemas.openxmlformats.org/officeDocument/2006/relationships/hyperlink" Target="https://www.kohc.co.uk" TargetMode="External"/><Relationship Id="rIdikllv3zhm2kjul2u9e-4w" Type="http://schemas.openxmlformats.org/officeDocument/2006/relationships/hyperlink" Target="mailto:info@kohc.co.uk" TargetMode="External"/><Relationship Id="rIdajniq91-gfzimjjucjx7f" Type="http://schemas.openxmlformats.org/officeDocument/2006/relationships/hyperlink" Target="https://www.cqc.org.uk/guidance-providers/regulations-enforcement/regulation-9-person-centred-care" TargetMode="External"/><Relationship Id="rId0n-h-abseckxegrq7rqa6" Type="http://schemas.openxmlformats.org/officeDocument/2006/relationships/hyperlink" Target="https://www.nice.org.uk/guidance/ng48" TargetMode="External"/><Relationship Id="rIdg3cj5j50kk44ssz9izbyl" Type="http://schemas.openxmlformats.org/officeDocument/2006/relationships/hyperlink" Target="https://www.nice.org.uk/guidance/qs151" TargetMode="External"/><Relationship Id="rIdgikaglhzeeak7w3wxac0x" Type="http://schemas.openxmlformats.org/officeDocument/2006/relationships/hyperlink" Target="https://www.cqc.org.uk/publications/major-report/smiling-matters-oral-health-care-care-homes" TargetMode="External"/><Relationship Id="rId-lr4thxrtq9rmw10ffvmc" Type="http://schemas.openxmlformats.org/officeDocument/2006/relationships/hyperlink" Target="https://www.kohc.co.uk" TargetMode="External"/><Relationship Id="rIdkawc--gtj5t0x3_-2ne4h" Type="http://schemas.openxmlformats.org/officeDocument/2006/relationships/hyperlink" Target="mailto:info@kohc.co.uk" TargetMode="External"/><Relationship Id="rId13" Type="http://schemas.openxmlformats.org/officeDocument/2006/relationships/image" Target="media/c2006728b7a63809abdc893f6de38cbd0d8f46f5.png"/><Relationship Id="rId14" Type="http://schemas.openxmlformats.org/officeDocument/2006/relationships/image" Target="media/08429098b0a9dabcb57865a85f3578a27483f6a1.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Oral Healthcare</dc:title>
  <dc:creator>Knowledge Oral Healthcare</dc:creator>
  <cp:lastModifiedBy>Un-named</cp:lastModifiedBy>
  <cp:revision>1</cp:revision>
  <dcterms:created xsi:type="dcterms:W3CDTF">2026-09-29T10:41:09.162Z</dcterms:created>
  <dcterms:modified xsi:type="dcterms:W3CDTF">2026-09-29T10:41:09.163Z</dcterms:modified>
</cp:coreProperties>
</file>

<file path=docProps/custom.xml><?xml version="1.0" encoding="utf-8"?>
<Properties xmlns="http://schemas.openxmlformats.org/officeDocument/2006/custom-properties" xmlns:vt="http://schemas.openxmlformats.org/officeDocument/2006/docPropsVTypes"/>
</file>